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40AA7" w14:textId="77777777" w:rsidR="00E37571" w:rsidRPr="00E37571" w:rsidRDefault="00E37571" w:rsidP="00E37571">
      <w:pPr>
        <w:jc w:val="center"/>
        <w:rPr>
          <w:rFonts w:ascii="Arial" w:hAnsi="Arial" w:cs="Arial"/>
          <w:b/>
          <w:bCs/>
          <w:sz w:val="24"/>
          <w:szCs w:val="24"/>
        </w:rPr>
      </w:pPr>
      <w:r w:rsidRPr="00E37571">
        <w:rPr>
          <w:rFonts w:ascii="Arial" w:hAnsi="Arial" w:cs="Arial"/>
          <w:b/>
          <w:bCs/>
          <w:sz w:val="24"/>
          <w:szCs w:val="24"/>
        </w:rPr>
        <w:t>KEHOP Plusz-5.1.0-26</w:t>
      </w:r>
    </w:p>
    <w:p w14:paraId="22E96C08" w14:textId="77777777" w:rsidR="00E37571" w:rsidRPr="00E37571" w:rsidRDefault="00E37571" w:rsidP="00E37571">
      <w:pPr>
        <w:jc w:val="center"/>
        <w:rPr>
          <w:rFonts w:ascii="Arial" w:hAnsi="Arial" w:cs="Arial"/>
          <w:b/>
          <w:bCs/>
          <w:sz w:val="24"/>
          <w:szCs w:val="24"/>
        </w:rPr>
      </w:pPr>
      <w:r w:rsidRPr="00E37571">
        <w:rPr>
          <w:rFonts w:ascii="Arial" w:hAnsi="Arial" w:cs="Arial"/>
          <w:b/>
          <w:bCs/>
          <w:sz w:val="24"/>
          <w:szCs w:val="24"/>
        </w:rPr>
        <w:t>KKV-k energiahatékonysági, technológiaváltási és diverzifikációs fejlesztéseinek támogatása</w:t>
      </w:r>
    </w:p>
    <w:p w14:paraId="6FE22DB2" w14:textId="77777777" w:rsidR="00E37571" w:rsidRPr="00E37571" w:rsidRDefault="00E37571" w:rsidP="00E37571">
      <w:pPr>
        <w:jc w:val="center"/>
        <w:rPr>
          <w:rFonts w:ascii="Arial" w:hAnsi="Arial" w:cs="Arial"/>
          <w:b/>
          <w:bCs/>
          <w:color w:val="EE0000"/>
          <w:sz w:val="24"/>
          <w:szCs w:val="24"/>
        </w:rPr>
      </w:pPr>
      <w:r w:rsidRPr="00E37571">
        <w:rPr>
          <w:rFonts w:ascii="Arial" w:hAnsi="Arial" w:cs="Arial"/>
          <w:b/>
          <w:bCs/>
          <w:color w:val="EE0000"/>
          <w:sz w:val="24"/>
          <w:szCs w:val="24"/>
        </w:rPr>
        <w:t>Összefoglaló a végleges, 2026. október 31-től hatályos felhívás alapján</w:t>
      </w:r>
    </w:p>
    <w:p w14:paraId="2874C372" w14:textId="77777777" w:rsidR="00E37571" w:rsidRDefault="00E37571" w:rsidP="00E37571">
      <w:pPr>
        <w:jc w:val="both"/>
        <w:rPr>
          <w:rFonts w:ascii="Arial" w:hAnsi="Arial" w:cs="Arial"/>
          <w:b/>
          <w:bCs/>
          <w:sz w:val="20"/>
          <w:szCs w:val="20"/>
        </w:rPr>
      </w:pPr>
    </w:p>
    <w:p w14:paraId="52FFE7BF" w14:textId="6BE417DF"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A konstrukció legfontosabb adatai röviden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6373"/>
      </w:tblGrid>
      <w:tr w:rsidR="00E37571" w:rsidRPr="00E37571" w14:paraId="782D4150" w14:textId="77777777" w:rsidTr="00E37571">
        <w:trPr>
          <w:tblCellSpacing w:w="15" w:type="dxa"/>
        </w:trPr>
        <w:tc>
          <w:tcPr>
            <w:tcW w:w="0" w:type="auto"/>
            <w:vAlign w:val="center"/>
            <w:hideMark/>
          </w:tcPr>
          <w:p w14:paraId="3E6A5B62" w14:textId="77777777"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Megnevezés</w:t>
            </w:r>
          </w:p>
        </w:tc>
        <w:tc>
          <w:tcPr>
            <w:tcW w:w="0" w:type="auto"/>
            <w:vAlign w:val="center"/>
            <w:hideMark/>
          </w:tcPr>
          <w:p w14:paraId="1140A601" w14:textId="77777777"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Feltétel</w:t>
            </w:r>
          </w:p>
        </w:tc>
      </w:tr>
      <w:tr w:rsidR="00E37571" w:rsidRPr="00E37571" w14:paraId="41C43F8E" w14:textId="77777777" w:rsidTr="00E37571">
        <w:trPr>
          <w:tblCellSpacing w:w="15" w:type="dxa"/>
        </w:trPr>
        <w:tc>
          <w:tcPr>
            <w:tcW w:w="0" w:type="auto"/>
            <w:vAlign w:val="center"/>
            <w:hideMark/>
          </w:tcPr>
          <w:p w14:paraId="7B2F88CE"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Felhívás azonosítója</w:t>
            </w:r>
          </w:p>
        </w:tc>
        <w:tc>
          <w:tcPr>
            <w:tcW w:w="0" w:type="auto"/>
            <w:vAlign w:val="center"/>
            <w:hideMark/>
          </w:tcPr>
          <w:p w14:paraId="69A032A8"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KEHOP Plusz-5.1.0-26</w:t>
            </w:r>
          </w:p>
        </w:tc>
      </w:tr>
      <w:tr w:rsidR="00E37571" w:rsidRPr="00E37571" w14:paraId="276ACFB3" w14:textId="77777777" w:rsidTr="00E37571">
        <w:trPr>
          <w:tblCellSpacing w:w="15" w:type="dxa"/>
        </w:trPr>
        <w:tc>
          <w:tcPr>
            <w:tcW w:w="0" w:type="auto"/>
            <w:vAlign w:val="center"/>
            <w:hideMark/>
          </w:tcPr>
          <w:p w14:paraId="20C71357"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Keretösszeg</w:t>
            </w:r>
          </w:p>
        </w:tc>
        <w:tc>
          <w:tcPr>
            <w:tcW w:w="0" w:type="auto"/>
            <w:vAlign w:val="center"/>
            <w:hideMark/>
          </w:tcPr>
          <w:p w14:paraId="103DA18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25,5 milliárd Ft</w:t>
            </w:r>
          </w:p>
        </w:tc>
      </w:tr>
      <w:tr w:rsidR="00E37571" w:rsidRPr="00E37571" w14:paraId="536F1C4C" w14:textId="77777777" w:rsidTr="00E37571">
        <w:trPr>
          <w:tblCellSpacing w:w="15" w:type="dxa"/>
        </w:trPr>
        <w:tc>
          <w:tcPr>
            <w:tcW w:w="0" w:type="auto"/>
            <w:vAlign w:val="center"/>
            <w:hideMark/>
          </w:tcPr>
          <w:p w14:paraId="47AED214"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Célterület</w:t>
            </w:r>
          </w:p>
        </w:tc>
        <w:tc>
          <w:tcPr>
            <w:tcW w:w="0" w:type="auto"/>
            <w:vAlign w:val="center"/>
            <w:hideMark/>
          </w:tcPr>
          <w:p w14:paraId="18BE311E"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Baranya, Borsod-Abaúj-Zemplén és Heves vármegye</w:t>
            </w:r>
          </w:p>
        </w:tc>
      </w:tr>
      <w:tr w:rsidR="00E37571" w:rsidRPr="00E37571" w14:paraId="240C26BF" w14:textId="77777777" w:rsidTr="00E37571">
        <w:trPr>
          <w:tblCellSpacing w:w="15" w:type="dxa"/>
        </w:trPr>
        <w:tc>
          <w:tcPr>
            <w:tcW w:w="0" w:type="auto"/>
            <w:vAlign w:val="center"/>
            <w:hideMark/>
          </w:tcPr>
          <w:p w14:paraId="689D65A0"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Területi keretek</w:t>
            </w:r>
          </w:p>
        </w:tc>
        <w:tc>
          <w:tcPr>
            <w:tcW w:w="0" w:type="auto"/>
            <w:vAlign w:val="center"/>
            <w:hideMark/>
          </w:tcPr>
          <w:p w14:paraId="7950990B" w14:textId="77777777" w:rsidR="00E37571" w:rsidRPr="00E37571" w:rsidRDefault="00E37571" w:rsidP="00E37571">
            <w:pPr>
              <w:jc w:val="both"/>
              <w:rPr>
                <w:rFonts w:ascii="Arial" w:hAnsi="Arial" w:cs="Arial"/>
                <w:sz w:val="20"/>
                <w:szCs w:val="20"/>
              </w:rPr>
            </w:pPr>
            <w:proofErr w:type="spellStart"/>
            <w:r w:rsidRPr="00E37571">
              <w:rPr>
                <w:rFonts w:ascii="Arial" w:hAnsi="Arial" w:cs="Arial"/>
                <w:sz w:val="20"/>
                <w:szCs w:val="20"/>
              </w:rPr>
              <w:t>Vármegyénként</w:t>
            </w:r>
            <w:proofErr w:type="spellEnd"/>
            <w:r w:rsidRPr="00E37571">
              <w:rPr>
                <w:rFonts w:ascii="Arial" w:hAnsi="Arial" w:cs="Arial"/>
                <w:sz w:val="20"/>
                <w:szCs w:val="20"/>
              </w:rPr>
              <w:t xml:space="preserve"> 8,5 milliárd Ft</w:t>
            </w:r>
          </w:p>
        </w:tc>
      </w:tr>
      <w:tr w:rsidR="00E37571" w:rsidRPr="00E37571" w14:paraId="1FDE8807" w14:textId="77777777" w:rsidTr="00E37571">
        <w:trPr>
          <w:tblCellSpacing w:w="15" w:type="dxa"/>
        </w:trPr>
        <w:tc>
          <w:tcPr>
            <w:tcW w:w="0" w:type="auto"/>
            <w:vAlign w:val="center"/>
            <w:hideMark/>
          </w:tcPr>
          <w:p w14:paraId="013728A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Pályázók</w:t>
            </w:r>
          </w:p>
        </w:tc>
        <w:tc>
          <w:tcPr>
            <w:tcW w:w="0" w:type="auto"/>
            <w:vAlign w:val="center"/>
            <w:hideMark/>
          </w:tcPr>
          <w:p w14:paraId="3C1F8282"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Mikro-, kis- és középvállalkozások</w:t>
            </w:r>
          </w:p>
        </w:tc>
      </w:tr>
      <w:tr w:rsidR="00E37571" w:rsidRPr="00E37571" w14:paraId="3E5E2525" w14:textId="77777777" w:rsidTr="00E37571">
        <w:trPr>
          <w:tblCellSpacing w:w="15" w:type="dxa"/>
        </w:trPr>
        <w:tc>
          <w:tcPr>
            <w:tcW w:w="0" w:type="auto"/>
            <w:vAlign w:val="center"/>
            <w:hideMark/>
          </w:tcPr>
          <w:p w14:paraId="37152878"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Minimum működési múlt</w:t>
            </w:r>
          </w:p>
        </w:tc>
        <w:tc>
          <w:tcPr>
            <w:tcW w:w="0" w:type="auto"/>
            <w:vAlign w:val="center"/>
            <w:hideMark/>
          </w:tcPr>
          <w:p w14:paraId="41BE58B6"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1 teljes lezárt üzleti év</w:t>
            </w:r>
          </w:p>
        </w:tc>
      </w:tr>
      <w:tr w:rsidR="00E37571" w:rsidRPr="00E37571" w14:paraId="10213F13" w14:textId="77777777" w:rsidTr="00E37571">
        <w:trPr>
          <w:tblCellSpacing w:w="15" w:type="dxa"/>
        </w:trPr>
        <w:tc>
          <w:tcPr>
            <w:tcW w:w="0" w:type="auto"/>
            <w:vAlign w:val="center"/>
            <w:hideMark/>
          </w:tcPr>
          <w:p w14:paraId="3CC3CCEA"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Finanszírozás</w:t>
            </w:r>
          </w:p>
        </w:tc>
        <w:tc>
          <w:tcPr>
            <w:tcW w:w="0" w:type="auto"/>
            <w:vAlign w:val="center"/>
            <w:hideMark/>
          </w:tcPr>
          <w:p w14:paraId="3E9909FF"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0%-os kölcsön és vissza nem térítendő támogatás</w:t>
            </w:r>
          </w:p>
        </w:tc>
      </w:tr>
      <w:tr w:rsidR="00E37571" w:rsidRPr="00E37571" w14:paraId="03078A5C" w14:textId="77777777" w:rsidTr="00E37571">
        <w:trPr>
          <w:tblCellSpacing w:w="15" w:type="dxa"/>
        </w:trPr>
        <w:tc>
          <w:tcPr>
            <w:tcW w:w="0" w:type="auto"/>
            <w:vAlign w:val="center"/>
            <w:hideMark/>
          </w:tcPr>
          <w:p w14:paraId="667D81A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Igényelhető összeg</w:t>
            </w:r>
          </w:p>
        </w:tc>
        <w:tc>
          <w:tcPr>
            <w:tcW w:w="0" w:type="auto"/>
            <w:vAlign w:val="center"/>
            <w:hideMark/>
          </w:tcPr>
          <w:p w14:paraId="77E40E5A"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5–500 millió Ft</w:t>
            </w:r>
          </w:p>
        </w:tc>
      </w:tr>
      <w:tr w:rsidR="00E37571" w:rsidRPr="00E37571" w14:paraId="21F393DF" w14:textId="77777777" w:rsidTr="00E37571">
        <w:trPr>
          <w:tblCellSpacing w:w="15" w:type="dxa"/>
        </w:trPr>
        <w:tc>
          <w:tcPr>
            <w:tcW w:w="0" w:type="auto"/>
            <w:vAlign w:val="center"/>
            <w:hideMark/>
          </w:tcPr>
          <w:p w14:paraId="5353A20B"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További összegkorlát</w:t>
            </w:r>
          </w:p>
        </w:tc>
        <w:tc>
          <w:tcPr>
            <w:tcW w:w="0" w:type="auto"/>
            <w:vAlign w:val="center"/>
            <w:hideMark/>
          </w:tcPr>
          <w:p w14:paraId="4A7C69CC"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bírálatot megelőző teljes lezárt pénzügyi év üzemi eredményének legfeljebb 15-szöröse</w:t>
            </w:r>
          </w:p>
        </w:tc>
      </w:tr>
      <w:tr w:rsidR="00E37571" w:rsidRPr="00E37571" w14:paraId="26162042" w14:textId="77777777" w:rsidTr="00E37571">
        <w:trPr>
          <w:tblCellSpacing w:w="15" w:type="dxa"/>
        </w:trPr>
        <w:tc>
          <w:tcPr>
            <w:tcW w:w="0" w:type="auto"/>
            <w:vAlign w:val="center"/>
            <w:hideMark/>
          </w:tcPr>
          <w:p w14:paraId="187CA6E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Vissza nem térítendő támogatás</w:t>
            </w:r>
          </w:p>
        </w:tc>
        <w:tc>
          <w:tcPr>
            <w:tcW w:w="0" w:type="auto"/>
            <w:vAlign w:val="center"/>
            <w:hideMark/>
          </w:tcPr>
          <w:p w14:paraId="011BE468"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finanszírozási összeg maximum 50%-a</w:t>
            </w:r>
          </w:p>
        </w:tc>
      </w:tr>
      <w:tr w:rsidR="00E37571" w:rsidRPr="00E37571" w14:paraId="16832230" w14:textId="77777777" w:rsidTr="00E37571">
        <w:trPr>
          <w:tblCellSpacing w:w="15" w:type="dxa"/>
        </w:trPr>
        <w:tc>
          <w:tcPr>
            <w:tcW w:w="0" w:type="auto"/>
            <w:vAlign w:val="center"/>
            <w:hideMark/>
          </w:tcPr>
          <w:p w14:paraId="39E0397A"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Minimum saját forrás</w:t>
            </w:r>
          </w:p>
        </w:tc>
        <w:tc>
          <w:tcPr>
            <w:tcW w:w="0" w:type="auto"/>
            <w:vAlign w:val="center"/>
            <w:hideMark/>
          </w:tcPr>
          <w:p w14:paraId="6A09D6D2"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Az elszámolható költségek legalább 10%-a</w:t>
            </w:r>
          </w:p>
        </w:tc>
      </w:tr>
      <w:tr w:rsidR="00E37571" w:rsidRPr="00E37571" w14:paraId="1D60D51D" w14:textId="77777777" w:rsidTr="00E37571">
        <w:trPr>
          <w:tblCellSpacing w:w="15" w:type="dxa"/>
        </w:trPr>
        <w:tc>
          <w:tcPr>
            <w:tcW w:w="0" w:type="auto"/>
            <w:vAlign w:val="center"/>
            <w:hideMark/>
          </w:tcPr>
          <w:p w14:paraId="3FC3547E"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Energiahatékonysági elvárás</w:t>
            </w:r>
          </w:p>
        </w:tc>
        <w:tc>
          <w:tcPr>
            <w:tcW w:w="0" w:type="auto"/>
            <w:vAlign w:val="center"/>
            <w:hideMark/>
          </w:tcPr>
          <w:p w14:paraId="438D436F"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Legalább 30% primerenergia-megtakarítás</w:t>
            </w:r>
          </w:p>
        </w:tc>
      </w:tr>
      <w:tr w:rsidR="00E37571" w:rsidRPr="00E37571" w14:paraId="676850B1" w14:textId="77777777" w:rsidTr="00E37571">
        <w:trPr>
          <w:tblCellSpacing w:w="15" w:type="dxa"/>
        </w:trPr>
        <w:tc>
          <w:tcPr>
            <w:tcW w:w="0" w:type="auto"/>
            <w:vAlign w:val="center"/>
            <w:hideMark/>
          </w:tcPr>
          <w:p w14:paraId="26DC8092"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Technológiaváltási elvárás</w:t>
            </w:r>
          </w:p>
        </w:tc>
        <w:tc>
          <w:tcPr>
            <w:tcW w:w="0" w:type="auto"/>
            <w:vAlign w:val="center"/>
            <w:hideMark/>
          </w:tcPr>
          <w:p w14:paraId="743D1C01"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Igazolt ÜHG-kibocsátás-csökkenés, a termelési kapacitás megtartásával</w:t>
            </w:r>
          </w:p>
        </w:tc>
      </w:tr>
      <w:tr w:rsidR="00E37571" w:rsidRPr="00E37571" w14:paraId="3F541F25" w14:textId="77777777" w:rsidTr="00E37571">
        <w:trPr>
          <w:tblCellSpacing w:w="15" w:type="dxa"/>
        </w:trPr>
        <w:tc>
          <w:tcPr>
            <w:tcW w:w="0" w:type="auto"/>
            <w:vAlign w:val="center"/>
            <w:hideMark/>
          </w:tcPr>
          <w:p w14:paraId="27EC79BB"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Diverzifikációs vállalás</w:t>
            </w:r>
          </w:p>
        </w:tc>
        <w:tc>
          <w:tcPr>
            <w:tcW w:w="0" w:type="auto"/>
            <w:vAlign w:val="center"/>
            <w:hideMark/>
          </w:tcPr>
          <w:p w14:paraId="3606D632"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Munkahelymegtartás a projekt befejezését követő 12 hónapban</w:t>
            </w:r>
          </w:p>
        </w:tc>
      </w:tr>
      <w:tr w:rsidR="00E37571" w:rsidRPr="00E37571" w14:paraId="0533AA5C" w14:textId="77777777" w:rsidTr="00E37571">
        <w:trPr>
          <w:tblCellSpacing w:w="15" w:type="dxa"/>
        </w:trPr>
        <w:tc>
          <w:tcPr>
            <w:tcW w:w="0" w:type="auto"/>
            <w:vAlign w:val="center"/>
            <w:hideMark/>
          </w:tcPr>
          <w:p w14:paraId="193BA643"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Megvalósítás</w:t>
            </w:r>
          </w:p>
        </w:tc>
        <w:tc>
          <w:tcPr>
            <w:tcW w:w="0" w:type="auto"/>
            <w:vAlign w:val="center"/>
            <w:hideMark/>
          </w:tcPr>
          <w:p w14:paraId="20660752"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Legfeljebb 24 hónap</w:t>
            </w:r>
          </w:p>
        </w:tc>
      </w:tr>
      <w:tr w:rsidR="00E37571" w:rsidRPr="00E37571" w14:paraId="0F529131" w14:textId="77777777" w:rsidTr="00E37571">
        <w:trPr>
          <w:tblCellSpacing w:w="15" w:type="dxa"/>
        </w:trPr>
        <w:tc>
          <w:tcPr>
            <w:tcW w:w="0" w:type="auto"/>
            <w:vAlign w:val="center"/>
            <w:hideMark/>
          </w:tcPr>
          <w:p w14:paraId="2A1B4F8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Benyújtási időszak</w:t>
            </w:r>
          </w:p>
        </w:tc>
        <w:tc>
          <w:tcPr>
            <w:tcW w:w="0" w:type="auto"/>
            <w:vAlign w:val="center"/>
            <w:hideMark/>
          </w:tcPr>
          <w:p w14:paraId="74C6F283"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2027. február 1. – 2027. október 31., illetve keretkimerülésig</w:t>
            </w:r>
          </w:p>
        </w:tc>
      </w:tr>
      <w:tr w:rsidR="00E37571" w:rsidRPr="00E37571" w14:paraId="380E8735" w14:textId="77777777" w:rsidTr="00E37571">
        <w:trPr>
          <w:tblCellSpacing w:w="15" w:type="dxa"/>
        </w:trPr>
        <w:tc>
          <w:tcPr>
            <w:tcW w:w="0" w:type="auto"/>
            <w:vAlign w:val="center"/>
            <w:hideMark/>
          </w:tcPr>
          <w:p w14:paraId="6D98B32E"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Benyújtás helye</w:t>
            </w:r>
          </w:p>
        </w:tc>
        <w:tc>
          <w:tcPr>
            <w:tcW w:w="0" w:type="auto"/>
            <w:vAlign w:val="center"/>
            <w:hideMark/>
          </w:tcPr>
          <w:p w14:paraId="161ED643"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MFB Pont Plusz</w:t>
            </w:r>
          </w:p>
        </w:tc>
      </w:tr>
    </w:tbl>
    <w:p w14:paraId="74200FD7" w14:textId="77777777" w:rsidR="00E37571" w:rsidRDefault="00E37571" w:rsidP="00E37571">
      <w:pPr>
        <w:jc w:val="both"/>
        <w:rPr>
          <w:rFonts w:ascii="Arial" w:hAnsi="Arial" w:cs="Arial"/>
          <w:b/>
          <w:bCs/>
          <w:sz w:val="20"/>
          <w:szCs w:val="20"/>
        </w:rPr>
      </w:pPr>
      <w:r>
        <w:rPr>
          <w:rFonts w:ascii="Arial" w:hAnsi="Arial" w:cs="Arial"/>
          <w:b/>
          <w:bCs/>
          <w:sz w:val="20"/>
          <w:szCs w:val="20"/>
        </w:rPr>
        <w:br w:type="page"/>
      </w:r>
    </w:p>
    <w:p w14:paraId="2065BEF1" w14:textId="0B2DB908"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lastRenderedPageBreak/>
        <w:t>1. A Hitelprogram célja</w:t>
      </w:r>
    </w:p>
    <w:p w14:paraId="7A5AF05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KEHOP Plusz-5.1.0-26 egyműveletes kombinált Hitelprogram célja a Baranya, Borsod-Abaúj-Zemplén és Heves vármegyében működő mikro-, kis- és középvállalkozások fejlesztése, az Igazságos Átmenet Alap célkitűzéseivel és a Területi Igazságos Átmenet Tervekkel összhangban.</w:t>
      </w:r>
    </w:p>
    <w:p w14:paraId="0DC38D82"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konstrukció három fő fejlesztési irányt támogat:</w:t>
      </w:r>
    </w:p>
    <w:p w14:paraId="22185B6B" w14:textId="77777777" w:rsidR="00E37571" w:rsidRPr="00E37571" w:rsidRDefault="00E37571" w:rsidP="00E37571">
      <w:pPr>
        <w:numPr>
          <w:ilvl w:val="0"/>
          <w:numId w:val="20"/>
        </w:numPr>
        <w:jc w:val="both"/>
        <w:rPr>
          <w:rFonts w:ascii="Arial" w:hAnsi="Arial" w:cs="Arial"/>
          <w:sz w:val="20"/>
          <w:szCs w:val="20"/>
        </w:rPr>
      </w:pPr>
      <w:r w:rsidRPr="00E37571">
        <w:rPr>
          <w:rFonts w:ascii="Arial" w:hAnsi="Arial" w:cs="Arial"/>
          <w:sz w:val="20"/>
          <w:szCs w:val="20"/>
        </w:rPr>
        <w:t>a vállalkozások épületeinek és termelési folyamatainak energiahatékonysági korszerűsítését;</w:t>
      </w:r>
    </w:p>
    <w:p w14:paraId="1B77CB46" w14:textId="77777777" w:rsidR="00E37571" w:rsidRPr="00E37571" w:rsidRDefault="00E37571" w:rsidP="00E37571">
      <w:pPr>
        <w:numPr>
          <w:ilvl w:val="0"/>
          <w:numId w:val="20"/>
        </w:numPr>
        <w:jc w:val="both"/>
        <w:rPr>
          <w:rFonts w:ascii="Arial" w:hAnsi="Arial" w:cs="Arial"/>
          <w:sz w:val="20"/>
          <w:szCs w:val="20"/>
        </w:rPr>
      </w:pPr>
      <w:r w:rsidRPr="00E37571">
        <w:rPr>
          <w:rFonts w:ascii="Arial" w:hAnsi="Arial" w:cs="Arial"/>
          <w:sz w:val="20"/>
          <w:szCs w:val="20"/>
        </w:rPr>
        <w:t>az üvegházhatású gázok kibocsátását csökkentő technológiaváltást;</w:t>
      </w:r>
    </w:p>
    <w:p w14:paraId="5DBE0722" w14:textId="77777777" w:rsidR="00E37571" w:rsidRPr="00E37571" w:rsidRDefault="00E37571" w:rsidP="00E37571">
      <w:pPr>
        <w:numPr>
          <w:ilvl w:val="0"/>
          <w:numId w:val="20"/>
        </w:numPr>
        <w:jc w:val="both"/>
        <w:rPr>
          <w:rFonts w:ascii="Arial" w:hAnsi="Arial" w:cs="Arial"/>
          <w:sz w:val="20"/>
          <w:szCs w:val="20"/>
        </w:rPr>
      </w:pPr>
      <w:r w:rsidRPr="00E37571">
        <w:rPr>
          <w:rFonts w:ascii="Arial" w:hAnsi="Arial" w:cs="Arial"/>
          <w:sz w:val="20"/>
          <w:szCs w:val="20"/>
        </w:rPr>
        <w:t>a zöldgazdasághoz és körforgásos gazdasághoz kapcsolódó tevékenységek kialakítását, bővítését, a munkahelyek megtartása mellett.</w:t>
      </w:r>
    </w:p>
    <w:p w14:paraId="5E2480DC"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Az energiahatékonysági beruházásoknál legalább 30%-os primerenergia-megtakarítás szükséges. Az ÜHG-kibocsátást csökkentő technológiaváltásnál a végleges felhívás igazolt kibocsátáscsökkenést követel meg, a termelési kapacitás megtartásával; általános 30%-os ÜHG-csökkentési küszöböt nem határoz meg.</w:t>
      </w:r>
    </w:p>
    <w:p w14:paraId="39706C23"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Amennyiben egy beruházás energiahatékonysági és ÜHG-csökkentési fejlesztést egyaránt tartalmaz, a két támogatási cél feltételeit külön-külön kell teljesíteni.</w:t>
      </w:r>
    </w:p>
    <w:p w14:paraId="28F149FE" w14:textId="77777777"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2. A rendelkezésre álló forrás</w:t>
      </w:r>
    </w:p>
    <w:p w14:paraId="4BB04F7E"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Hitelprogram teljes keretösszege 25,5 milliárd Ft.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6"/>
        <w:gridCol w:w="1387"/>
      </w:tblGrid>
      <w:tr w:rsidR="00E37571" w:rsidRPr="00E37571" w14:paraId="2888D99A" w14:textId="77777777">
        <w:trPr>
          <w:tblCellSpacing w:w="15" w:type="dxa"/>
        </w:trPr>
        <w:tc>
          <w:tcPr>
            <w:tcW w:w="0" w:type="auto"/>
            <w:vAlign w:val="center"/>
            <w:hideMark/>
          </w:tcPr>
          <w:p w14:paraId="45E673C8" w14:textId="77777777"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Megvalósítás helye</w:t>
            </w:r>
          </w:p>
        </w:tc>
        <w:tc>
          <w:tcPr>
            <w:tcW w:w="0" w:type="auto"/>
            <w:vAlign w:val="center"/>
            <w:hideMark/>
          </w:tcPr>
          <w:p w14:paraId="34F4A5C9" w14:textId="77777777"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Keretösszeg</w:t>
            </w:r>
          </w:p>
        </w:tc>
      </w:tr>
      <w:tr w:rsidR="00E37571" w:rsidRPr="00E37571" w14:paraId="5C31B0E5" w14:textId="77777777">
        <w:trPr>
          <w:tblCellSpacing w:w="15" w:type="dxa"/>
        </w:trPr>
        <w:tc>
          <w:tcPr>
            <w:tcW w:w="0" w:type="auto"/>
            <w:vAlign w:val="center"/>
            <w:hideMark/>
          </w:tcPr>
          <w:p w14:paraId="2510AAA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Baranya vármegye</w:t>
            </w:r>
          </w:p>
        </w:tc>
        <w:tc>
          <w:tcPr>
            <w:tcW w:w="0" w:type="auto"/>
            <w:vAlign w:val="center"/>
            <w:hideMark/>
          </w:tcPr>
          <w:p w14:paraId="0B6FD456"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8,5 milliárd Ft</w:t>
            </w:r>
          </w:p>
        </w:tc>
      </w:tr>
      <w:tr w:rsidR="00E37571" w:rsidRPr="00E37571" w14:paraId="59E9BD49" w14:textId="77777777">
        <w:trPr>
          <w:tblCellSpacing w:w="15" w:type="dxa"/>
        </w:trPr>
        <w:tc>
          <w:tcPr>
            <w:tcW w:w="0" w:type="auto"/>
            <w:vAlign w:val="center"/>
            <w:hideMark/>
          </w:tcPr>
          <w:p w14:paraId="795C303B"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Borsod-Abaúj-Zemplén vármegye</w:t>
            </w:r>
          </w:p>
        </w:tc>
        <w:tc>
          <w:tcPr>
            <w:tcW w:w="0" w:type="auto"/>
            <w:vAlign w:val="center"/>
            <w:hideMark/>
          </w:tcPr>
          <w:p w14:paraId="60B34EFA"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8,5 milliárd Ft</w:t>
            </w:r>
          </w:p>
        </w:tc>
      </w:tr>
      <w:tr w:rsidR="00E37571" w:rsidRPr="00E37571" w14:paraId="4F432236" w14:textId="77777777">
        <w:trPr>
          <w:tblCellSpacing w:w="15" w:type="dxa"/>
        </w:trPr>
        <w:tc>
          <w:tcPr>
            <w:tcW w:w="0" w:type="auto"/>
            <w:vAlign w:val="center"/>
            <w:hideMark/>
          </w:tcPr>
          <w:p w14:paraId="770F8C02"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Heves vármegye</w:t>
            </w:r>
          </w:p>
        </w:tc>
        <w:tc>
          <w:tcPr>
            <w:tcW w:w="0" w:type="auto"/>
            <w:vAlign w:val="center"/>
            <w:hideMark/>
          </w:tcPr>
          <w:p w14:paraId="2A7B178C"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8,5 milliárd Ft</w:t>
            </w:r>
          </w:p>
        </w:tc>
      </w:tr>
      <w:tr w:rsidR="00E37571" w:rsidRPr="00E37571" w14:paraId="42A19D99" w14:textId="77777777">
        <w:trPr>
          <w:tblCellSpacing w:w="15" w:type="dxa"/>
        </w:trPr>
        <w:tc>
          <w:tcPr>
            <w:tcW w:w="0" w:type="auto"/>
            <w:vAlign w:val="center"/>
            <w:hideMark/>
          </w:tcPr>
          <w:p w14:paraId="5D844EFA"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Összesen</w:t>
            </w:r>
          </w:p>
        </w:tc>
        <w:tc>
          <w:tcPr>
            <w:tcW w:w="0" w:type="auto"/>
            <w:vAlign w:val="center"/>
            <w:hideMark/>
          </w:tcPr>
          <w:p w14:paraId="37D6B319"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25,5 milliárd Ft</w:t>
            </w:r>
          </w:p>
        </w:tc>
      </w:tr>
    </w:tbl>
    <w:p w14:paraId="4D27D66A"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jogosultság szempontjából a projekt tényleges megvalósítási helye meghatározó. Más vármegyében székhellyel rendelkező vállalkozás is igényelhet finanszírozást, ha a fejlesztés a három jogosult vármegye valamelyikében valósul meg.</w:t>
      </w:r>
    </w:p>
    <w:p w14:paraId="0C598690"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Több megvalósítási helyszín esetén egy kölcsönkérelem kizárólag ugyanazon vármegyében található helyszínekre vonatkozhat. Különböző vármegyékben megvalósuló fejlesztések egyetlen kérelemben nem vonhatók össze.</w:t>
      </w:r>
    </w:p>
    <w:p w14:paraId="618C04EC" w14:textId="77777777"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3. A finanszírozás legfontosabb feltételei</w:t>
      </w:r>
    </w:p>
    <w:p w14:paraId="53A5BDEE"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konstrukció vissza nem térítendő támogatással kombinált, kamatmentes beruházási kölcsönt biztosít.</w:t>
      </w:r>
    </w:p>
    <w:p w14:paraId="18743864"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 xml:space="preserve">Az igényelhető finanszírozási összeg mindkét </w:t>
      </w:r>
      <w:proofErr w:type="spellStart"/>
      <w:r w:rsidRPr="00E37571">
        <w:rPr>
          <w:rFonts w:ascii="Arial" w:hAnsi="Arial" w:cs="Arial"/>
          <w:sz w:val="20"/>
          <w:szCs w:val="20"/>
        </w:rPr>
        <w:t>alcél</w:t>
      </w:r>
      <w:proofErr w:type="spellEnd"/>
      <w:r w:rsidRPr="00E37571">
        <w:rPr>
          <w:rFonts w:ascii="Arial" w:hAnsi="Arial" w:cs="Arial"/>
          <w:sz w:val="20"/>
          <w:szCs w:val="20"/>
        </w:rPr>
        <w:t xml:space="preserve"> esetében minimum 5 millió Ft, maximum 500 millió Ft. A végleges felhívás további pénzügyi korlátja szerint a Hitelprogram keretében összesen igényelhető finanszírozási összeg nem haladhatja meg a kölcsönkérelem bírálatát megelőző teljes lezárt pénzügyi év üzemi eredményének </w:t>
      </w:r>
      <w:proofErr w:type="spellStart"/>
      <w:r w:rsidRPr="00E37571">
        <w:rPr>
          <w:rFonts w:ascii="Arial" w:hAnsi="Arial" w:cs="Arial"/>
          <w:sz w:val="20"/>
          <w:szCs w:val="20"/>
        </w:rPr>
        <w:t>tizenötszörösét</w:t>
      </w:r>
      <w:proofErr w:type="spellEnd"/>
      <w:r w:rsidRPr="00E37571">
        <w:rPr>
          <w:rFonts w:ascii="Arial" w:hAnsi="Arial" w:cs="Arial"/>
          <w:sz w:val="20"/>
          <w:szCs w:val="20"/>
        </w:rPr>
        <w:t>.</w:t>
      </w:r>
    </w:p>
    <w:p w14:paraId="3DA42181"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finanszírozási összeg legfeljebb 50%-a lehet vissza nem térítendő támogatás, a fennmaradó rész kamatmentes kölcsön. A tényleges támogatási arányt az alkalmazandó állami támogatási kategória, a vállalkozás mérete és a kölcsön támogatástartalma is befolyásolja.</w:t>
      </w:r>
    </w:p>
    <w:p w14:paraId="5CA62F26"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lastRenderedPageBreak/>
        <w:t>A vállalkozásnak az elszámolható projektköltségek legalább 10%-át minden állami támogatástól mentes saját forrásból kell biztosítania. A saját forrás felhasználását legkésőbb az első folyósítás előtt igazolni kell.</w:t>
      </w:r>
    </w:p>
    <w:p w14:paraId="6E6BA41C"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kölcsön kamata 0%/év. Kezelési költség, rendelkezésre tartási jutalék, előtörlesztési és szerződésmódosítási díj nem kerül felszámításra, azonban harmadik felekhez kapcsolódó költségek, például értékbecslői vagy közjegyzői díjak felmerülhetnek.</w:t>
      </w:r>
    </w:p>
    <w:p w14:paraId="3283C82C"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Tárgyi eszközök beszerzéséhez a finanszírozási összeg legfeljebb 50%-</w:t>
      </w:r>
      <w:proofErr w:type="spellStart"/>
      <w:r w:rsidRPr="00E37571">
        <w:rPr>
          <w:rFonts w:ascii="Arial" w:hAnsi="Arial" w:cs="Arial"/>
          <w:sz w:val="20"/>
          <w:szCs w:val="20"/>
        </w:rPr>
        <w:t>áig</w:t>
      </w:r>
      <w:proofErr w:type="spellEnd"/>
      <w:r w:rsidRPr="00E37571">
        <w:rPr>
          <w:rFonts w:ascii="Arial" w:hAnsi="Arial" w:cs="Arial"/>
          <w:sz w:val="20"/>
          <w:szCs w:val="20"/>
        </w:rPr>
        <w:t xml:space="preserve"> szállítói előleg igényelhető.</w:t>
      </w:r>
    </w:p>
    <w:p w14:paraId="04A31F86"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Egy vállalkozás egy alcélon belül legfeljebb egy támogatott kérelemmel rendelkezhet. A két alcélra irányuló fejlesztések esetén külön kölcsönkérelmet kell benyújtani, és külön kölcsönszerződések jönnek létre.</w:t>
      </w:r>
    </w:p>
    <w:p w14:paraId="00FCFB80" w14:textId="77777777" w:rsidR="00E37571" w:rsidRPr="00E37571" w:rsidRDefault="00E37571" w:rsidP="00E37571">
      <w:pPr>
        <w:jc w:val="both"/>
        <w:rPr>
          <w:rFonts w:ascii="Arial" w:hAnsi="Arial" w:cs="Arial"/>
          <w:b/>
          <w:bCs/>
          <w:sz w:val="20"/>
          <w:szCs w:val="20"/>
        </w:rPr>
      </w:pPr>
      <w:r w:rsidRPr="00E37571">
        <w:rPr>
          <w:rFonts w:ascii="Arial" w:hAnsi="Arial" w:cs="Arial"/>
          <w:b/>
          <w:bCs/>
          <w:sz w:val="20"/>
          <w:szCs w:val="20"/>
        </w:rPr>
        <w:t>4. Kik igényelhetik a finanszírozást?</w:t>
      </w:r>
    </w:p>
    <w:p w14:paraId="04490A3C"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A Hitelprogramban gazdaságilag potenciálisan életképes mikro-, kis- és középvállalkozások vehetnek részt, amelyek legalább egy teljes lezárt üzleti évvel rendelkeznek.</w:t>
      </w:r>
    </w:p>
    <w:p w14:paraId="011A6423"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 xml:space="preserve">A támogatható vállalkozási formák között szerepel többek között a kft., rt., </w:t>
      </w:r>
      <w:proofErr w:type="spellStart"/>
      <w:r w:rsidRPr="00E37571">
        <w:rPr>
          <w:rFonts w:ascii="Arial" w:hAnsi="Arial" w:cs="Arial"/>
          <w:sz w:val="20"/>
          <w:szCs w:val="20"/>
        </w:rPr>
        <w:t>kkt.</w:t>
      </w:r>
      <w:proofErr w:type="spellEnd"/>
      <w:r w:rsidRPr="00E37571">
        <w:rPr>
          <w:rFonts w:ascii="Arial" w:hAnsi="Arial" w:cs="Arial"/>
          <w:sz w:val="20"/>
          <w:szCs w:val="20"/>
        </w:rPr>
        <w:t>, bt., szövetkezet, egyéni cég és egyéni vállalkozó, valamint meghatározott nonprofit gazdasági társaságok.</w:t>
      </w:r>
    </w:p>
    <w:p w14:paraId="6C80447F" w14:textId="77777777" w:rsidR="00E37571" w:rsidRPr="00E37571" w:rsidRDefault="00E37571" w:rsidP="00E37571">
      <w:pPr>
        <w:jc w:val="both"/>
        <w:rPr>
          <w:rFonts w:ascii="Arial" w:hAnsi="Arial" w:cs="Arial"/>
          <w:sz w:val="20"/>
          <w:szCs w:val="20"/>
        </w:rPr>
      </w:pPr>
      <w:r w:rsidRPr="00E37571">
        <w:rPr>
          <w:rFonts w:ascii="Arial" w:hAnsi="Arial" w:cs="Arial"/>
          <w:sz w:val="20"/>
          <w:szCs w:val="20"/>
        </w:rPr>
        <w:t>Kezdő vállalkozások és konzorciumok nem igényelhetnek finanszírozást.</w:t>
      </w:r>
    </w:p>
    <w:p w14:paraId="0FD0BC65" w14:textId="77777777" w:rsidR="00E37571" w:rsidRDefault="00E37571" w:rsidP="00E37571">
      <w:pPr>
        <w:jc w:val="both"/>
        <w:rPr>
          <w:rFonts w:ascii="Arial" w:hAnsi="Arial" w:cs="Arial"/>
          <w:sz w:val="20"/>
          <w:szCs w:val="20"/>
        </w:rPr>
      </w:pPr>
      <w:r w:rsidRPr="00E37571">
        <w:rPr>
          <w:rFonts w:ascii="Arial" w:hAnsi="Arial" w:cs="Arial"/>
          <w:sz w:val="20"/>
          <w:szCs w:val="20"/>
        </w:rPr>
        <w:t>A megvalósítási helyszínnek a kérelem benyújtásakor már a vállalkozás bejegyzett székhelyének, telephelyének vagy fióktelepének kell lennie. A helyszínnek alkalmasnak kell lennie a projekt megvalósítására, és a vállalkozásnak a kölcsön futamideje alatt ott gazdasági tevékenységet kell folytatnia.</w:t>
      </w:r>
    </w:p>
    <w:p w14:paraId="565D4F9C"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5. Támogatható tevékenységek</w:t>
      </w:r>
    </w:p>
    <w:p w14:paraId="5FEDFF36"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A Hitelprogram két finanszírozási </w:t>
      </w:r>
      <w:proofErr w:type="spellStart"/>
      <w:r w:rsidRPr="000C17D3">
        <w:rPr>
          <w:rFonts w:ascii="Arial" w:hAnsi="Arial" w:cs="Arial"/>
          <w:sz w:val="20"/>
          <w:szCs w:val="20"/>
        </w:rPr>
        <w:t>alcél</w:t>
      </w:r>
      <w:proofErr w:type="spellEnd"/>
      <w:r w:rsidRPr="000C17D3">
        <w:rPr>
          <w:rFonts w:ascii="Arial" w:hAnsi="Arial" w:cs="Arial"/>
          <w:sz w:val="20"/>
          <w:szCs w:val="20"/>
        </w:rPr>
        <w:t xml:space="preserve"> keretében támogatja a vállalkozások fejlesztéseit. Az 1. </w:t>
      </w:r>
      <w:proofErr w:type="spellStart"/>
      <w:r w:rsidRPr="000C17D3">
        <w:rPr>
          <w:rFonts w:ascii="Arial" w:hAnsi="Arial" w:cs="Arial"/>
          <w:sz w:val="20"/>
          <w:szCs w:val="20"/>
        </w:rPr>
        <w:t>alcél</w:t>
      </w:r>
      <w:proofErr w:type="spellEnd"/>
      <w:r w:rsidRPr="000C17D3">
        <w:rPr>
          <w:rFonts w:ascii="Arial" w:hAnsi="Arial" w:cs="Arial"/>
          <w:sz w:val="20"/>
          <w:szCs w:val="20"/>
        </w:rPr>
        <w:t xml:space="preserve"> az energiahatékonysági korszerűsítéseket és az ÜHG-kibocsátást csökkentő technológiaváltásokat foglalja magában, míg a 2. </w:t>
      </w:r>
      <w:proofErr w:type="spellStart"/>
      <w:r w:rsidRPr="000C17D3">
        <w:rPr>
          <w:rFonts w:ascii="Arial" w:hAnsi="Arial" w:cs="Arial"/>
          <w:sz w:val="20"/>
          <w:szCs w:val="20"/>
        </w:rPr>
        <w:t>alcél</w:t>
      </w:r>
      <w:proofErr w:type="spellEnd"/>
      <w:r w:rsidRPr="000C17D3">
        <w:rPr>
          <w:rFonts w:ascii="Arial" w:hAnsi="Arial" w:cs="Arial"/>
          <w:sz w:val="20"/>
          <w:szCs w:val="20"/>
        </w:rPr>
        <w:t xml:space="preserve"> a vállalkozások zöldgazdasági és körforgásos diverzifikációját támogatja.</w:t>
      </w:r>
    </w:p>
    <w:p w14:paraId="486497D4"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 xml:space="preserve">5.1. 1. </w:t>
      </w:r>
      <w:proofErr w:type="spellStart"/>
      <w:r w:rsidRPr="000C17D3">
        <w:rPr>
          <w:rFonts w:ascii="Arial" w:hAnsi="Arial" w:cs="Arial"/>
          <w:b/>
          <w:bCs/>
          <w:sz w:val="20"/>
          <w:szCs w:val="20"/>
        </w:rPr>
        <w:t>alcél</w:t>
      </w:r>
      <w:proofErr w:type="spellEnd"/>
      <w:r w:rsidRPr="000C17D3">
        <w:rPr>
          <w:rFonts w:ascii="Arial" w:hAnsi="Arial" w:cs="Arial"/>
          <w:b/>
          <w:bCs/>
          <w:sz w:val="20"/>
          <w:szCs w:val="20"/>
        </w:rPr>
        <w:t xml:space="preserve"> – Energiahatékonyság és ÜHG-kibocsátás csökkentése</w:t>
      </w:r>
    </w:p>
    <w:p w14:paraId="5621785B"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5.1.1. Energiahatékonysági fejlesztések</w:t>
      </w:r>
    </w:p>
    <w:p w14:paraId="5D131AD1"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Az energiahatékonysági </w:t>
      </w:r>
      <w:proofErr w:type="spellStart"/>
      <w:r w:rsidRPr="000C17D3">
        <w:rPr>
          <w:rFonts w:ascii="Arial" w:hAnsi="Arial" w:cs="Arial"/>
          <w:sz w:val="20"/>
          <w:szCs w:val="20"/>
        </w:rPr>
        <w:t>alcél</w:t>
      </w:r>
      <w:proofErr w:type="spellEnd"/>
      <w:r w:rsidRPr="000C17D3">
        <w:rPr>
          <w:rFonts w:ascii="Arial" w:hAnsi="Arial" w:cs="Arial"/>
          <w:sz w:val="20"/>
          <w:szCs w:val="20"/>
        </w:rPr>
        <w:t xml:space="preserve"> keretében olyan beruházások támogathatók, amelyek a vállalkozás épületeinek, termelési folyamatainak vagy technológiáinak energiafelhasználását csökkentik.</w:t>
      </w:r>
    </w:p>
    <w:p w14:paraId="40F8A303"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legalább 30%-os primerenergia-megtakarítást az alábbiak szerint szükséges teljesíteni:</w:t>
      </w:r>
    </w:p>
    <w:p w14:paraId="1D9270D3" w14:textId="77777777" w:rsidR="000C17D3" w:rsidRPr="000C17D3" w:rsidRDefault="000C17D3" w:rsidP="000C17D3">
      <w:pPr>
        <w:numPr>
          <w:ilvl w:val="0"/>
          <w:numId w:val="32"/>
        </w:numPr>
        <w:jc w:val="both"/>
        <w:rPr>
          <w:rFonts w:ascii="Arial" w:hAnsi="Arial" w:cs="Arial"/>
          <w:sz w:val="20"/>
          <w:szCs w:val="20"/>
        </w:rPr>
      </w:pPr>
      <w:r w:rsidRPr="000C17D3">
        <w:rPr>
          <w:rFonts w:ascii="Arial" w:hAnsi="Arial" w:cs="Arial"/>
          <w:sz w:val="20"/>
          <w:szCs w:val="20"/>
        </w:rPr>
        <w:t>tisztán épületenergetikai fejlesztés esetében épületenként;</w:t>
      </w:r>
    </w:p>
    <w:p w14:paraId="15FF141D" w14:textId="77777777" w:rsidR="000C17D3" w:rsidRPr="000C17D3" w:rsidRDefault="000C17D3" w:rsidP="000C17D3">
      <w:pPr>
        <w:numPr>
          <w:ilvl w:val="0"/>
          <w:numId w:val="32"/>
        </w:numPr>
        <w:jc w:val="both"/>
        <w:rPr>
          <w:rFonts w:ascii="Arial" w:hAnsi="Arial" w:cs="Arial"/>
          <w:sz w:val="20"/>
          <w:szCs w:val="20"/>
        </w:rPr>
      </w:pPr>
      <w:r w:rsidRPr="000C17D3">
        <w:rPr>
          <w:rFonts w:ascii="Arial" w:hAnsi="Arial" w:cs="Arial"/>
          <w:sz w:val="20"/>
          <w:szCs w:val="20"/>
        </w:rPr>
        <w:t>tisztán technológiai vagy folyamat-energiahatékonysági korszerűsítés esetében az érintett gyártási folyamat, gépegység vagy logisztikai egység vonatkozásában;</w:t>
      </w:r>
    </w:p>
    <w:p w14:paraId="75B35E9E" w14:textId="77777777" w:rsidR="000C17D3" w:rsidRPr="000C17D3" w:rsidRDefault="000C17D3" w:rsidP="000C17D3">
      <w:pPr>
        <w:numPr>
          <w:ilvl w:val="0"/>
          <w:numId w:val="32"/>
        </w:numPr>
        <w:jc w:val="both"/>
        <w:rPr>
          <w:rFonts w:ascii="Arial" w:hAnsi="Arial" w:cs="Arial"/>
          <w:sz w:val="20"/>
          <w:szCs w:val="20"/>
        </w:rPr>
      </w:pPr>
      <w:r w:rsidRPr="000C17D3">
        <w:rPr>
          <w:rFonts w:ascii="Arial" w:hAnsi="Arial" w:cs="Arial"/>
          <w:sz w:val="20"/>
          <w:szCs w:val="20"/>
        </w:rPr>
        <w:t>épületenergetikai és technológiai fejlesztés együttes megvalósításakor telephelyenként, a beruházással érintett épületelemekre és folyamatokra számítva.</w:t>
      </w:r>
    </w:p>
    <w:p w14:paraId="7D41DB8A"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5.1.1.1. Önállóan támogatható tevékenységek</w:t>
      </w:r>
    </w:p>
    <w:p w14:paraId="62903EFB"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Technológiai és termelési energiahatékonysági fejlesztések</w:t>
      </w:r>
    </w:p>
    <w:p w14:paraId="52CD1B25"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Támogatható többek között a meglévő termelési technológiák energiahatékony gépekre és berendezésekre történő cseréje, energiahatékony tárgyi eszközök beszerzése, termelésoptimalizációs </w:t>
      </w:r>
      <w:r w:rsidRPr="000C17D3">
        <w:rPr>
          <w:rFonts w:ascii="Arial" w:hAnsi="Arial" w:cs="Arial"/>
          <w:sz w:val="20"/>
          <w:szCs w:val="20"/>
        </w:rPr>
        <w:lastRenderedPageBreak/>
        <w:t>megoldások bevezetése, kapcsolódó immateriális javak beszerzése, valamint maradék- vagy hulladékhő hasznosítását szolgáló berendezések telepítése.</w:t>
      </w:r>
    </w:p>
    <w:p w14:paraId="21972CDD"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Ide tartozik továbbá az energiahatékony alapanyagok alkalmazhatóságát megteremtő technológiai korszerűsítés, valamint a termelési folyamatok hőigényét kielégítő napkollektoros vagy hibrid PVT-rendszerek és kapcsolódó hőtárolók telepítése. Az alapanyagok beszerzése önmagában nem támogatható.</w:t>
      </w:r>
    </w:p>
    <w:p w14:paraId="3FA0ECA2"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korszerűsített technológiának a korábbihoz képest legalább azonos termelési teljesítményt kell biztosítania, alacsonyabb energiafelhasználás mellett. A termelési kapacitás megtartását energetikai audittal szükséges alátámasztani.</w:t>
      </w:r>
    </w:p>
    <w:p w14:paraId="1BA2CE3B"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Épületenergetikai fejlesztések</w:t>
      </w:r>
    </w:p>
    <w:p w14:paraId="4FCE7CEF"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Támogatható például a homlokzat, födém és tető hőszigetelése, nyílászárók korszerűsítése, árnyékoló szerkezetek telepítése, szellőztető, fűtési és hűtési rendszerek korszerűsítése, hőszivattyús és napkollektoros rendszerek kialakítása, hővisszanyerés, használati melegvíz-rendszerek korszerűsítése, energiatakarékos világítás, valamint energiamenedzsment-rendszerek és okosmérők telepítése.</w:t>
      </w:r>
    </w:p>
    <w:p w14:paraId="3F9BABF3"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Az épületenergetikai fejlesztéseknél legalább két épületelemtípus cseréjére vonatkozó követelményt, valamint a fűtéskorszerűsítés épületenergetikai feltételeit is figyelembe kell venni. A két épületelemtípusra vonatkozó előírás </w:t>
      </w:r>
      <w:proofErr w:type="gramStart"/>
      <w:r w:rsidRPr="000C17D3">
        <w:rPr>
          <w:rFonts w:ascii="Arial" w:hAnsi="Arial" w:cs="Arial"/>
          <w:sz w:val="20"/>
          <w:szCs w:val="20"/>
        </w:rPr>
        <w:t>a</w:t>
      </w:r>
      <w:proofErr w:type="gramEnd"/>
      <w:r w:rsidRPr="000C17D3">
        <w:rPr>
          <w:rFonts w:ascii="Arial" w:hAnsi="Arial" w:cs="Arial"/>
          <w:sz w:val="20"/>
          <w:szCs w:val="20"/>
        </w:rPr>
        <w:t xml:space="preserve"> de </w:t>
      </w:r>
      <w:proofErr w:type="spellStart"/>
      <w:r w:rsidRPr="000C17D3">
        <w:rPr>
          <w:rFonts w:ascii="Arial" w:hAnsi="Arial" w:cs="Arial"/>
          <w:sz w:val="20"/>
          <w:szCs w:val="20"/>
        </w:rPr>
        <w:t>minimis</w:t>
      </w:r>
      <w:proofErr w:type="spellEnd"/>
      <w:r w:rsidRPr="000C17D3">
        <w:rPr>
          <w:rFonts w:ascii="Arial" w:hAnsi="Arial" w:cs="Arial"/>
          <w:sz w:val="20"/>
          <w:szCs w:val="20"/>
        </w:rPr>
        <w:t xml:space="preserve"> támogatási kategóriában elszámolt épületenergetikai költségeknél nem elvárás.</w:t>
      </w:r>
    </w:p>
    <w:p w14:paraId="52205BEC"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Az épületbővítéssel, -átalakítással és -átépítéssel kapcsolatos beruházások ebben az alcélban nem támogathatók, kizárólag a projekt elszámolható költségén felül valósíthatók meg.</w:t>
      </w:r>
    </w:p>
    <w:p w14:paraId="3E7353FC"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beruházás eredményét megfelelő energetikai dokumentációval kell igazolni. Épületenergetikai beruházásnál hiteles energetikai tanúsítvány és energetikai számítás, technológiai vagy komplex beruházásnál energetikai audit szükséges.</w:t>
      </w:r>
    </w:p>
    <w:p w14:paraId="6969CFEC"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5.1.1.2. Önállóan nem támogatható tevékenységek</w:t>
      </w:r>
    </w:p>
    <w:p w14:paraId="1B5A87B9"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Saját fogyasztást fedező megújulóenergia-termelő és energiatároló rendszerek</w:t>
      </w:r>
    </w:p>
    <w:p w14:paraId="7B1588C3"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Kizárólag az önállóan támogatható energiahatékonysági fejlesztésekhez kapcsolódva finanszírozható:</w:t>
      </w:r>
    </w:p>
    <w:p w14:paraId="042CA8C4" w14:textId="77777777" w:rsidR="000C17D3" w:rsidRPr="000C17D3" w:rsidRDefault="000C17D3" w:rsidP="000C17D3">
      <w:pPr>
        <w:numPr>
          <w:ilvl w:val="0"/>
          <w:numId w:val="33"/>
        </w:numPr>
        <w:jc w:val="both"/>
        <w:rPr>
          <w:rFonts w:ascii="Arial" w:hAnsi="Arial" w:cs="Arial"/>
          <w:sz w:val="20"/>
          <w:szCs w:val="20"/>
        </w:rPr>
      </w:pPr>
      <w:r w:rsidRPr="000C17D3">
        <w:rPr>
          <w:rFonts w:ascii="Arial" w:hAnsi="Arial" w:cs="Arial"/>
          <w:sz w:val="20"/>
          <w:szCs w:val="20"/>
        </w:rPr>
        <w:t>megújuló alapú villamosenergia-termelő rendszer telepítése;</w:t>
      </w:r>
    </w:p>
    <w:p w14:paraId="4053077F" w14:textId="77777777" w:rsidR="000C17D3" w:rsidRPr="000C17D3" w:rsidRDefault="000C17D3" w:rsidP="000C17D3">
      <w:pPr>
        <w:numPr>
          <w:ilvl w:val="0"/>
          <w:numId w:val="33"/>
        </w:numPr>
        <w:jc w:val="both"/>
        <w:rPr>
          <w:rFonts w:ascii="Arial" w:hAnsi="Arial" w:cs="Arial"/>
          <w:sz w:val="20"/>
          <w:szCs w:val="20"/>
        </w:rPr>
      </w:pPr>
      <w:r w:rsidRPr="000C17D3">
        <w:rPr>
          <w:rFonts w:ascii="Arial" w:hAnsi="Arial" w:cs="Arial"/>
          <w:sz w:val="20"/>
          <w:szCs w:val="20"/>
        </w:rPr>
        <w:t>villamosenergia- vagy hőtároló rendszer telepítése, amennyiben a tároló energiájának évente legalább 75%-át a közvetlenül összekapcsolt helyszíni megújulóenergia-termelő létesítményből nyeri.</w:t>
      </w:r>
    </w:p>
    <w:p w14:paraId="4C5377FD"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tároló a projekt keretében létesülő vagy a telephelyen már meglévő megújulóenergia-termelő rendszerhez is kapcsolódhat.</w:t>
      </w:r>
    </w:p>
    <w:p w14:paraId="392F117B"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villamosenergia-termelő rendszernek elsődlegesen a saját fogyasztást kell szolgálnia. Éves várható termelése nem haladhatja meg a telephely beruházás utáni, energetikai auditban igazolt éves villamosenergia-felhasználását.</w:t>
      </w:r>
    </w:p>
    <w:p w14:paraId="5DBE7D17"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pillanatnyi többlet hálózati betáplálása az elosztói engedélyes csatlakozási feltételei szerint megengedett. Ahol ez nem lehetséges, visszatáplálás-korlátozás szükséges. A betáplált többletre működési támogatás nem vehető igénybe, és az nem számítható be a 30%-os energiamegtakarításba.</w:t>
      </w:r>
    </w:p>
    <w:p w14:paraId="6FD1BA49" w14:textId="14EC3916" w:rsidR="000C17D3" w:rsidRDefault="000C17D3" w:rsidP="000C17D3">
      <w:pPr>
        <w:jc w:val="both"/>
        <w:rPr>
          <w:rFonts w:ascii="Arial" w:hAnsi="Arial" w:cs="Arial"/>
          <w:sz w:val="20"/>
          <w:szCs w:val="20"/>
        </w:rPr>
      </w:pPr>
      <w:r w:rsidRPr="000C17D3">
        <w:rPr>
          <w:rFonts w:ascii="Arial" w:hAnsi="Arial" w:cs="Arial"/>
          <w:sz w:val="20"/>
          <w:szCs w:val="20"/>
        </w:rPr>
        <w:t>Az ilyen kiegészítő projektelemek elszámolható költsége legfeljebb a projekt teljes elszámolható költségének 20%-a lehet.</w:t>
      </w:r>
      <w:r>
        <w:rPr>
          <w:rFonts w:ascii="Arial" w:hAnsi="Arial" w:cs="Arial"/>
          <w:sz w:val="20"/>
          <w:szCs w:val="20"/>
        </w:rPr>
        <w:br w:type="page"/>
      </w:r>
    </w:p>
    <w:p w14:paraId="5BE4880A"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lastRenderedPageBreak/>
        <w:t>5.1.2. ÜHG-kibocsátást csökkentő technológiaváltás</w:t>
      </w:r>
    </w:p>
    <w:p w14:paraId="6943DBD8"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konstrukció támogatja azokat a technológiaváltásokat, amelyek csökkentik a vállalkozás üvegházhatásúgáz-kibocsátását, miközben a termelési kapacitás megmarad.</w:t>
      </w:r>
    </w:p>
    <w:p w14:paraId="6B55E31B"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Kizárólag alacsony ÜHG-intenzitású technológia telepíthető. A kibocsátáscsökkenést megfelelő szakértői dokumentációval kell alátámasztani.</w:t>
      </w:r>
    </w:p>
    <w:p w14:paraId="58F66364"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végleges felhívás nem ír elő általánosan legalább 30%-os ÜHG-kibocsátás-csökkentést. A kibocsátáscsökkenés elérése ugyanakkor továbbra is alapvető jogosultsági feltétel.</w:t>
      </w:r>
    </w:p>
    <w:p w14:paraId="7F4FD269"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5.1.2.1. Önállóan támogatható tevékenységek</w:t>
      </w:r>
    </w:p>
    <w:p w14:paraId="3447F33E"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Termelési folyamatok ÜHG-kibocsátását csökkentő technológiák alkalmazása</w:t>
      </w:r>
    </w:p>
    <w:p w14:paraId="474B56FB"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Támogatható a vállalkozás termelési folyamatainak ÜHG-kibocsátását csökkentő technológiákhoz szükséges új tárgyi eszközök és kapcsolódó immateriális javak beszerzése.</w:t>
      </w:r>
    </w:p>
    <w:p w14:paraId="3054C3A3"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Ilyen lehet különösen:</w:t>
      </w:r>
    </w:p>
    <w:p w14:paraId="3EE1FFA2" w14:textId="77777777" w:rsidR="000C17D3" w:rsidRPr="000C17D3" w:rsidRDefault="000C17D3" w:rsidP="000C17D3">
      <w:pPr>
        <w:numPr>
          <w:ilvl w:val="0"/>
          <w:numId w:val="34"/>
        </w:numPr>
        <w:jc w:val="both"/>
        <w:rPr>
          <w:rFonts w:ascii="Arial" w:hAnsi="Arial" w:cs="Arial"/>
          <w:sz w:val="20"/>
          <w:szCs w:val="20"/>
        </w:rPr>
      </w:pPr>
      <w:r w:rsidRPr="000C17D3">
        <w:rPr>
          <w:rFonts w:ascii="Arial" w:hAnsi="Arial" w:cs="Arial"/>
          <w:sz w:val="20"/>
          <w:szCs w:val="20"/>
        </w:rPr>
        <w:t>a termelési folyamatok elektrifikációja;</w:t>
      </w:r>
    </w:p>
    <w:p w14:paraId="7F18C543" w14:textId="77777777" w:rsidR="000C17D3" w:rsidRPr="000C17D3" w:rsidRDefault="000C17D3" w:rsidP="000C17D3">
      <w:pPr>
        <w:numPr>
          <w:ilvl w:val="0"/>
          <w:numId w:val="34"/>
        </w:numPr>
        <w:jc w:val="both"/>
        <w:rPr>
          <w:rFonts w:ascii="Arial" w:hAnsi="Arial" w:cs="Arial"/>
          <w:sz w:val="20"/>
          <w:szCs w:val="20"/>
        </w:rPr>
      </w:pPr>
      <w:r w:rsidRPr="000C17D3">
        <w:rPr>
          <w:rFonts w:ascii="Arial" w:hAnsi="Arial" w:cs="Arial"/>
          <w:sz w:val="20"/>
          <w:szCs w:val="20"/>
        </w:rPr>
        <w:t>zöld hidrogén használatára és felhasználására épülő technológiák alkalmazása;</w:t>
      </w:r>
    </w:p>
    <w:p w14:paraId="74548C41" w14:textId="77777777" w:rsidR="000C17D3" w:rsidRPr="000C17D3" w:rsidRDefault="000C17D3" w:rsidP="000C17D3">
      <w:pPr>
        <w:numPr>
          <w:ilvl w:val="0"/>
          <w:numId w:val="34"/>
        </w:numPr>
        <w:jc w:val="both"/>
        <w:rPr>
          <w:rFonts w:ascii="Arial" w:hAnsi="Arial" w:cs="Arial"/>
          <w:sz w:val="20"/>
          <w:szCs w:val="20"/>
        </w:rPr>
      </w:pPr>
      <w:r w:rsidRPr="000C17D3">
        <w:rPr>
          <w:rFonts w:ascii="Arial" w:hAnsi="Arial" w:cs="Arial"/>
          <w:sz w:val="20"/>
          <w:szCs w:val="20"/>
        </w:rPr>
        <w:t>biogáz használatára és felhasználására épülő technológiák alkalmazása.</w:t>
      </w:r>
    </w:p>
    <w:p w14:paraId="6A958FA0"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technológiaváltásnak a termelési kapacitás megtartása mellett kell megvalósulnia. A korszerűsített berendezés termelési teljesítményének legalább el kell érnie a lecserélt berendezés teljesítményét.</w:t>
      </w:r>
    </w:p>
    <w:p w14:paraId="06B3CA44"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termelési kapacitás megtartását energetikai audit keretében szükséges igazolni.</w:t>
      </w:r>
    </w:p>
    <w:p w14:paraId="3A633DB6"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5.1.2.2. Önállóan nem támogatható tevékenységek</w:t>
      </w:r>
    </w:p>
    <w:p w14:paraId="0C435300"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Termelésoptimalizációs és digitális megoldások</w:t>
      </w:r>
    </w:p>
    <w:p w14:paraId="0DD3DF59"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Az önállóan támogatható technológiaváltási beruházáshoz kapcsolódva finanszírozhatók a termelésoptimalizációs és információs technológiai megoldások, valamint digitális energiamenedzsment-rendszerek telepítése.</w:t>
      </w:r>
    </w:p>
    <w:p w14:paraId="142C2397"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Megújulóenergia-termelés és energiatárolás</w:t>
      </w:r>
    </w:p>
    <w:p w14:paraId="7C5E0B8D"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Saját fogyasztást fedező megújuló alapú villamosenergia-termelő rendszer, illetve energiatároló rendszer önállóan nem, kizárólag kiegészítő jelleggel támogatható.</w:t>
      </w:r>
    </w:p>
    <w:p w14:paraId="3EEE2D2A"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Az ilyen projektelemek elszámolható költsége legfeljebb a projekt teljes elszámolható költségének 20%-a lehet.</w:t>
      </w:r>
    </w:p>
    <w:p w14:paraId="5247715C"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rendszereknek a vállalkozás saját energiaigényének kielégítését kell szolgálniuk, a felhívásban meghatározott műszaki és elszámolhatósági feltételek szerint.</w:t>
      </w:r>
    </w:p>
    <w:p w14:paraId="19D4ACBE"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 xml:space="preserve">5.2. 2. </w:t>
      </w:r>
      <w:proofErr w:type="spellStart"/>
      <w:r w:rsidRPr="000C17D3">
        <w:rPr>
          <w:rFonts w:ascii="Arial" w:hAnsi="Arial" w:cs="Arial"/>
          <w:b/>
          <w:bCs/>
          <w:sz w:val="20"/>
          <w:szCs w:val="20"/>
        </w:rPr>
        <w:t>alcél</w:t>
      </w:r>
      <w:proofErr w:type="spellEnd"/>
      <w:r w:rsidRPr="000C17D3">
        <w:rPr>
          <w:rFonts w:ascii="Arial" w:hAnsi="Arial" w:cs="Arial"/>
          <w:b/>
          <w:bCs/>
          <w:sz w:val="20"/>
          <w:szCs w:val="20"/>
        </w:rPr>
        <w:t xml:space="preserve"> – Mikro-, kis- és középvállalkozások diverzifikációjának támogatása</w:t>
      </w:r>
    </w:p>
    <w:p w14:paraId="0EF3B218"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5.2.1. Zöldgazdasági és körforgásos diverzifikáció</w:t>
      </w:r>
    </w:p>
    <w:p w14:paraId="3603F79E"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A diverzifikációs </w:t>
      </w:r>
      <w:proofErr w:type="spellStart"/>
      <w:r w:rsidRPr="000C17D3">
        <w:rPr>
          <w:rFonts w:ascii="Arial" w:hAnsi="Arial" w:cs="Arial"/>
          <w:sz w:val="20"/>
          <w:szCs w:val="20"/>
        </w:rPr>
        <w:t>alcél</w:t>
      </w:r>
      <w:proofErr w:type="spellEnd"/>
      <w:r w:rsidRPr="000C17D3">
        <w:rPr>
          <w:rFonts w:ascii="Arial" w:hAnsi="Arial" w:cs="Arial"/>
          <w:sz w:val="20"/>
          <w:szCs w:val="20"/>
        </w:rPr>
        <w:t xml:space="preserve"> olyan új vagy érdemben bővülő tevékenységeket támogat, amelyek a vállalkozást a zöld- vagy körforgásos gazdasághoz kapcsolódó termékek, szolgáltatások, technológiák és értékláncok felé mozdítják el.</w:t>
      </w:r>
    </w:p>
    <w:p w14:paraId="513F4B61" w14:textId="60C3C33E" w:rsidR="000C17D3" w:rsidRDefault="000C17D3" w:rsidP="000C17D3">
      <w:pPr>
        <w:jc w:val="both"/>
        <w:rPr>
          <w:rFonts w:ascii="Arial" w:hAnsi="Arial" w:cs="Arial"/>
          <w:sz w:val="20"/>
          <w:szCs w:val="20"/>
        </w:rPr>
      </w:pPr>
      <w:r w:rsidRPr="000C17D3">
        <w:rPr>
          <w:rFonts w:ascii="Arial" w:hAnsi="Arial" w:cs="Arial"/>
          <w:sz w:val="20"/>
          <w:szCs w:val="20"/>
        </w:rPr>
        <w:t>A fejlesztésnek igazolhatóan hozzá kell járulnia a vállalkozás tevékenységének diverzifikációjához, és munkahelymegtartással kell együtt járnia.</w:t>
      </w:r>
      <w:r>
        <w:rPr>
          <w:rFonts w:ascii="Arial" w:hAnsi="Arial" w:cs="Arial"/>
          <w:sz w:val="20"/>
          <w:szCs w:val="20"/>
        </w:rPr>
        <w:br w:type="page"/>
      </w:r>
    </w:p>
    <w:p w14:paraId="043BA00F"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lastRenderedPageBreak/>
        <w:t>5.2.1.1. Önállóan támogatható tevékenységek</w:t>
      </w:r>
    </w:p>
    <w:p w14:paraId="7E780E6D"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Zöld technológiák (tiszta technológiák) támogatása</w:t>
      </w:r>
    </w:p>
    <w:p w14:paraId="5ECE6787"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Támogatható a tiszta technológiák gyártását szolgáló tevékenységek bővítése, fejlesztése, különösen új gépek és berendezések beszerzésével.</w:t>
      </w:r>
    </w:p>
    <w:p w14:paraId="2F6690AB"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A nevesített technológiai területek közé tartoznak többek között a nap- és szélenergia-technológiák, akkumulátor- és energiatárolási technológiák, hőszivattyúk, geotermikus és hidrogéntechnológiák, fenntartható biogáz- és </w:t>
      </w:r>
      <w:proofErr w:type="spellStart"/>
      <w:r w:rsidRPr="000C17D3">
        <w:rPr>
          <w:rFonts w:ascii="Arial" w:hAnsi="Arial" w:cs="Arial"/>
          <w:sz w:val="20"/>
          <w:szCs w:val="20"/>
        </w:rPr>
        <w:t>biometán</w:t>
      </w:r>
      <w:proofErr w:type="spellEnd"/>
      <w:r w:rsidRPr="000C17D3">
        <w:rPr>
          <w:rFonts w:ascii="Arial" w:hAnsi="Arial" w:cs="Arial"/>
          <w:sz w:val="20"/>
          <w:szCs w:val="20"/>
        </w:rPr>
        <w:t xml:space="preserve">-technológiák, villamosenergia-hálózati megoldások, elektromos töltési technológiák és egyéb </w:t>
      </w:r>
      <w:proofErr w:type="spellStart"/>
      <w:r w:rsidRPr="000C17D3">
        <w:rPr>
          <w:rFonts w:ascii="Arial" w:hAnsi="Arial" w:cs="Arial"/>
          <w:sz w:val="20"/>
          <w:szCs w:val="20"/>
        </w:rPr>
        <w:t>dekarbonizációs</w:t>
      </w:r>
      <w:proofErr w:type="spellEnd"/>
      <w:r w:rsidRPr="000C17D3">
        <w:rPr>
          <w:rFonts w:ascii="Arial" w:hAnsi="Arial" w:cs="Arial"/>
          <w:sz w:val="20"/>
          <w:szCs w:val="20"/>
        </w:rPr>
        <w:t xml:space="preserve"> ipari technológiák.</w:t>
      </w:r>
    </w:p>
    <w:p w14:paraId="0CC8B5CF"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Az eszközbeszerzés bekerülési értéke a vételár mellett tartalmazhatja a szállítás, az üzembe helyezés, valamint az eszközbeszerzéshez közvetlenül kapcsolódó betanítás költségét is.</w:t>
      </w:r>
    </w:p>
    <w:p w14:paraId="0AF376D5"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Körforgásos gazdaság támogatása</w:t>
      </w:r>
    </w:p>
    <w:p w14:paraId="3922786F"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Támogathatók a termékek élettartamát, javíthatóságát, </w:t>
      </w:r>
      <w:proofErr w:type="spellStart"/>
      <w:r w:rsidRPr="000C17D3">
        <w:rPr>
          <w:rFonts w:ascii="Arial" w:hAnsi="Arial" w:cs="Arial"/>
          <w:sz w:val="20"/>
          <w:szCs w:val="20"/>
        </w:rPr>
        <w:t>újrafelhasználhatóságát</w:t>
      </w:r>
      <w:proofErr w:type="spellEnd"/>
      <w:r w:rsidRPr="000C17D3">
        <w:rPr>
          <w:rFonts w:ascii="Arial" w:hAnsi="Arial" w:cs="Arial"/>
          <w:sz w:val="20"/>
          <w:szCs w:val="20"/>
        </w:rPr>
        <w:t xml:space="preserve">, </w:t>
      </w:r>
      <w:proofErr w:type="spellStart"/>
      <w:r w:rsidRPr="000C17D3">
        <w:rPr>
          <w:rFonts w:ascii="Arial" w:hAnsi="Arial" w:cs="Arial"/>
          <w:sz w:val="20"/>
          <w:szCs w:val="20"/>
        </w:rPr>
        <w:t>újragyártását</w:t>
      </w:r>
      <w:proofErr w:type="spellEnd"/>
      <w:r w:rsidRPr="000C17D3">
        <w:rPr>
          <w:rFonts w:ascii="Arial" w:hAnsi="Arial" w:cs="Arial"/>
          <w:sz w:val="20"/>
          <w:szCs w:val="20"/>
        </w:rPr>
        <w:t xml:space="preserve"> és </w:t>
      </w:r>
      <w:proofErr w:type="spellStart"/>
      <w:r w:rsidRPr="000C17D3">
        <w:rPr>
          <w:rFonts w:ascii="Arial" w:hAnsi="Arial" w:cs="Arial"/>
          <w:sz w:val="20"/>
          <w:szCs w:val="20"/>
        </w:rPr>
        <w:t>újrafeldolgozhatóságát</w:t>
      </w:r>
      <w:proofErr w:type="spellEnd"/>
      <w:r w:rsidRPr="000C17D3">
        <w:rPr>
          <w:rFonts w:ascii="Arial" w:hAnsi="Arial" w:cs="Arial"/>
          <w:sz w:val="20"/>
          <w:szCs w:val="20"/>
        </w:rPr>
        <w:t xml:space="preserve"> javító beruházások, a másodnyersanyagok felhasználásának növelése, valamint a termelési hulladék és selejt csökkentése.</w:t>
      </w:r>
    </w:p>
    <w:p w14:paraId="7A7316DB"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konstrukció lehetőséget biztosít többek között:</w:t>
      </w:r>
    </w:p>
    <w:p w14:paraId="2C40DC47" w14:textId="77777777" w:rsidR="000C17D3" w:rsidRPr="000C17D3" w:rsidRDefault="000C17D3" w:rsidP="000C17D3">
      <w:pPr>
        <w:numPr>
          <w:ilvl w:val="0"/>
          <w:numId w:val="35"/>
        </w:numPr>
        <w:jc w:val="both"/>
        <w:rPr>
          <w:rFonts w:ascii="Arial" w:hAnsi="Arial" w:cs="Arial"/>
          <w:sz w:val="20"/>
          <w:szCs w:val="20"/>
        </w:rPr>
      </w:pPr>
      <w:r w:rsidRPr="000C17D3">
        <w:rPr>
          <w:rFonts w:ascii="Arial" w:hAnsi="Arial" w:cs="Arial"/>
          <w:sz w:val="20"/>
          <w:szCs w:val="20"/>
        </w:rPr>
        <w:t xml:space="preserve">a termékek javítását, felújítását, </w:t>
      </w:r>
      <w:proofErr w:type="spellStart"/>
      <w:r w:rsidRPr="000C17D3">
        <w:rPr>
          <w:rFonts w:ascii="Arial" w:hAnsi="Arial" w:cs="Arial"/>
          <w:sz w:val="20"/>
          <w:szCs w:val="20"/>
        </w:rPr>
        <w:t>újragyártását</w:t>
      </w:r>
      <w:proofErr w:type="spellEnd"/>
      <w:r w:rsidRPr="000C17D3">
        <w:rPr>
          <w:rFonts w:ascii="Arial" w:hAnsi="Arial" w:cs="Arial"/>
          <w:sz w:val="20"/>
          <w:szCs w:val="20"/>
        </w:rPr>
        <w:t xml:space="preserve"> és </w:t>
      </w:r>
      <w:proofErr w:type="spellStart"/>
      <w:r w:rsidRPr="000C17D3">
        <w:rPr>
          <w:rFonts w:ascii="Arial" w:hAnsi="Arial" w:cs="Arial"/>
          <w:sz w:val="20"/>
          <w:szCs w:val="20"/>
        </w:rPr>
        <w:t>újrafelhasználását</w:t>
      </w:r>
      <w:proofErr w:type="spellEnd"/>
      <w:r w:rsidRPr="000C17D3">
        <w:rPr>
          <w:rFonts w:ascii="Arial" w:hAnsi="Arial" w:cs="Arial"/>
          <w:sz w:val="20"/>
          <w:szCs w:val="20"/>
        </w:rPr>
        <w:t xml:space="preserve"> szolgáló kapacitások kialakítására;</w:t>
      </w:r>
    </w:p>
    <w:p w14:paraId="4F4F4810" w14:textId="77777777" w:rsidR="000C17D3" w:rsidRPr="000C17D3" w:rsidRDefault="000C17D3" w:rsidP="000C17D3">
      <w:pPr>
        <w:numPr>
          <w:ilvl w:val="0"/>
          <w:numId w:val="35"/>
        </w:numPr>
        <w:jc w:val="both"/>
        <w:rPr>
          <w:rFonts w:ascii="Arial" w:hAnsi="Arial" w:cs="Arial"/>
          <w:sz w:val="20"/>
          <w:szCs w:val="20"/>
        </w:rPr>
      </w:pPr>
      <w:r w:rsidRPr="000C17D3">
        <w:rPr>
          <w:rFonts w:ascii="Arial" w:hAnsi="Arial" w:cs="Arial"/>
          <w:sz w:val="20"/>
          <w:szCs w:val="20"/>
        </w:rPr>
        <w:t>a termelési hulladék és selejt csökkentését, valamint a másodnyersanyagok felhasználását elősegítő fejlesztésekre;</w:t>
      </w:r>
    </w:p>
    <w:p w14:paraId="2F8C7776" w14:textId="77777777" w:rsidR="000C17D3" w:rsidRPr="000C17D3" w:rsidRDefault="000C17D3" w:rsidP="000C17D3">
      <w:pPr>
        <w:numPr>
          <w:ilvl w:val="0"/>
          <w:numId w:val="35"/>
        </w:numPr>
        <w:jc w:val="both"/>
        <w:rPr>
          <w:rFonts w:ascii="Arial" w:hAnsi="Arial" w:cs="Arial"/>
          <w:sz w:val="20"/>
          <w:szCs w:val="20"/>
        </w:rPr>
      </w:pPr>
      <w:r w:rsidRPr="000C17D3">
        <w:rPr>
          <w:rFonts w:ascii="Arial" w:hAnsi="Arial" w:cs="Arial"/>
          <w:sz w:val="20"/>
          <w:szCs w:val="20"/>
        </w:rPr>
        <w:t>hulladékgyűjtő és fordított logisztikai rendszerek kialakítására, a koncesszió alá tartozó tevékenységek kivételével;</w:t>
      </w:r>
    </w:p>
    <w:p w14:paraId="3ACFC80D" w14:textId="77777777" w:rsidR="000C17D3" w:rsidRPr="000C17D3" w:rsidRDefault="000C17D3" w:rsidP="000C17D3">
      <w:pPr>
        <w:numPr>
          <w:ilvl w:val="0"/>
          <w:numId w:val="35"/>
        </w:numPr>
        <w:jc w:val="both"/>
        <w:rPr>
          <w:rFonts w:ascii="Arial" w:hAnsi="Arial" w:cs="Arial"/>
          <w:sz w:val="20"/>
          <w:szCs w:val="20"/>
        </w:rPr>
      </w:pPr>
      <w:r w:rsidRPr="000C17D3">
        <w:rPr>
          <w:rFonts w:ascii="Arial" w:hAnsi="Arial" w:cs="Arial"/>
          <w:sz w:val="20"/>
          <w:szCs w:val="20"/>
        </w:rPr>
        <w:t xml:space="preserve">a visszanyert alapanyagok </w:t>
      </w:r>
      <w:proofErr w:type="spellStart"/>
      <w:r w:rsidRPr="000C17D3">
        <w:rPr>
          <w:rFonts w:ascii="Arial" w:hAnsi="Arial" w:cs="Arial"/>
          <w:sz w:val="20"/>
          <w:szCs w:val="20"/>
        </w:rPr>
        <w:t>újrahasznosításra</w:t>
      </w:r>
      <w:proofErr w:type="spellEnd"/>
      <w:r w:rsidRPr="000C17D3">
        <w:rPr>
          <w:rFonts w:ascii="Arial" w:hAnsi="Arial" w:cs="Arial"/>
          <w:sz w:val="20"/>
          <w:szCs w:val="20"/>
        </w:rPr>
        <w:t xml:space="preserve"> alkalmassá tételére, feldolgozására és új termékek előállításában történő felhasználására;</w:t>
      </w:r>
    </w:p>
    <w:p w14:paraId="503A80ED" w14:textId="77777777" w:rsidR="000C17D3" w:rsidRPr="000C17D3" w:rsidRDefault="000C17D3" w:rsidP="000C17D3">
      <w:pPr>
        <w:numPr>
          <w:ilvl w:val="0"/>
          <w:numId w:val="35"/>
        </w:numPr>
        <w:jc w:val="both"/>
        <w:rPr>
          <w:rFonts w:ascii="Arial" w:hAnsi="Arial" w:cs="Arial"/>
          <w:sz w:val="20"/>
          <w:szCs w:val="20"/>
        </w:rPr>
      </w:pPr>
      <w:r w:rsidRPr="000C17D3">
        <w:rPr>
          <w:rFonts w:ascii="Arial" w:hAnsi="Arial" w:cs="Arial"/>
          <w:sz w:val="20"/>
          <w:szCs w:val="20"/>
        </w:rPr>
        <w:t>a körforgásos gazdasági és erőforrás-hatékonysági stratégiák megvalósítását támogató technológiák, digitális alkalmazások és megoldások bevezetésére.</w:t>
      </w:r>
    </w:p>
    <w:p w14:paraId="6F70D4A5"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 xml:space="preserve">A diverzifikációs alcélban kifejezetten az új vagy bővülő tevékenységhez kapcsolódó eszközbeszerzés támogatható. A meglévő eszközök pusztán energiahatékonyabbra történő cseréje az energiahatékonysági, illetve ÜHG-csökkentési </w:t>
      </w:r>
      <w:proofErr w:type="spellStart"/>
      <w:r w:rsidRPr="000C17D3">
        <w:rPr>
          <w:rFonts w:ascii="Arial" w:hAnsi="Arial" w:cs="Arial"/>
          <w:sz w:val="20"/>
          <w:szCs w:val="20"/>
        </w:rPr>
        <w:t>alcél</w:t>
      </w:r>
      <w:proofErr w:type="spellEnd"/>
      <w:r w:rsidRPr="000C17D3">
        <w:rPr>
          <w:rFonts w:ascii="Arial" w:hAnsi="Arial" w:cs="Arial"/>
          <w:sz w:val="20"/>
          <w:szCs w:val="20"/>
        </w:rPr>
        <w:t xml:space="preserve"> szabályai szerint valósítható meg.</w:t>
      </w:r>
    </w:p>
    <w:p w14:paraId="569AA1E5"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5.2.1.2. Önállóan nem támogatható tevékenységek</w:t>
      </w:r>
    </w:p>
    <w:p w14:paraId="0541B406" w14:textId="77777777"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t>Kapcsolódó infrastrukturális fejlesztések</w:t>
      </w:r>
    </w:p>
    <w:p w14:paraId="44A3F7E3"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 fő beruházáshoz közvetlenül kapcsolódó, önállóan nem támogatható infrastrukturális fejlesztések is finanszírozhatók, amennyiben azok a tevékenység bővítéséhez, az eszközbeszerzéshez vagy az eszközök rendeltetésszerű használatához elengedhetetlenül szükségesek.</w:t>
      </w:r>
    </w:p>
    <w:p w14:paraId="616991A9"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Ide tartozhat:</w:t>
      </w:r>
    </w:p>
    <w:p w14:paraId="2A05E433" w14:textId="77777777" w:rsidR="000C17D3" w:rsidRPr="000C17D3" w:rsidRDefault="000C17D3" w:rsidP="000C17D3">
      <w:pPr>
        <w:numPr>
          <w:ilvl w:val="0"/>
          <w:numId w:val="36"/>
        </w:numPr>
        <w:jc w:val="both"/>
        <w:rPr>
          <w:rFonts w:ascii="Arial" w:hAnsi="Arial" w:cs="Arial"/>
          <w:sz w:val="20"/>
          <w:szCs w:val="20"/>
        </w:rPr>
      </w:pPr>
      <w:r w:rsidRPr="000C17D3">
        <w:rPr>
          <w:rFonts w:ascii="Arial" w:hAnsi="Arial" w:cs="Arial"/>
          <w:sz w:val="20"/>
          <w:szCs w:val="20"/>
        </w:rPr>
        <w:t>meglévő épületek, építmények bővítése;</w:t>
      </w:r>
    </w:p>
    <w:p w14:paraId="3F105045" w14:textId="77777777" w:rsidR="000C17D3" w:rsidRPr="000C17D3" w:rsidRDefault="000C17D3" w:rsidP="000C17D3">
      <w:pPr>
        <w:numPr>
          <w:ilvl w:val="0"/>
          <w:numId w:val="36"/>
        </w:numPr>
        <w:jc w:val="both"/>
        <w:rPr>
          <w:rFonts w:ascii="Arial" w:hAnsi="Arial" w:cs="Arial"/>
          <w:sz w:val="20"/>
          <w:szCs w:val="20"/>
        </w:rPr>
      </w:pPr>
      <w:r w:rsidRPr="000C17D3">
        <w:rPr>
          <w:rFonts w:ascii="Arial" w:hAnsi="Arial" w:cs="Arial"/>
          <w:sz w:val="20"/>
          <w:szCs w:val="20"/>
        </w:rPr>
        <w:t>meglévő infrastruktúra korszerűsítése;</w:t>
      </w:r>
    </w:p>
    <w:p w14:paraId="6FE43570" w14:textId="77777777" w:rsidR="000C17D3" w:rsidRPr="000C17D3" w:rsidRDefault="000C17D3" w:rsidP="000C17D3">
      <w:pPr>
        <w:numPr>
          <w:ilvl w:val="0"/>
          <w:numId w:val="36"/>
        </w:numPr>
        <w:jc w:val="both"/>
        <w:rPr>
          <w:rFonts w:ascii="Arial" w:hAnsi="Arial" w:cs="Arial"/>
          <w:sz w:val="20"/>
          <w:szCs w:val="20"/>
        </w:rPr>
      </w:pPr>
      <w:r w:rsidRPr="000C17D3">
        <w:rPr>
          <w:rFonts w:ascii="Arial" w:hAnsi="Arial" w:cs="Arial"/>
          <w:sz w:val="20"/>
          <w:szCs w:val="20"/>
        </w:rPr>
        <w:t>új épületek, építmények létesítése.</w:t>
      </w:r>
    </w:p>
    <w:p w14:paraId="20E309BE"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E projektelemek elszámolható költsége legfeljebb a teljes elszámolható költség 40%-a lehet.</w:t>
      </w:r>
    </w:p>
    <w:p w14:paraId="07651223" w14:textId="77777777" w:rsidR="000C17D3" w:rsidRDefault="000C17D3" w:rsidP="000C17D3">
      <w:pPr>
        <w:jc w:val="both"/>
        <w:rPr>
          <w:rFonts w:ascii="Arial" w:hAnsi="Arial" w:cs="Arial"/>
          <w:b/>
          <w:bCs/>
          <w:sz w:val="20"/>
          <w:szCs w:val="20"/>
        </w:rPr>
      </w:pPr>
      <w:r>
        <w:rPr>
          <w:rFonts w:ascii="Arial" w:hAnsi="Arial" w:cs="Arial"/>
          <w:b/>
          <w:bCs/>
          <w:sz w:val="20"/>
          <w:szCs w:val="20"/>
        </w:rPr>
        <w:br w:type="page"/>
      </w:r>
    </w:p>
    <w:p w14:paraId="40F981D5" w14:textId="11C6818F" w:rsidR="000C17D3" w:rsidRPr="000C17D3" w:rsidRDefault="000C17D3" w:rsidP="000C17D3">
      <w:pPr>
        <w:jc w:val="both"/>
        <w:rPr>
          <w:rFonts w:ascii="Arial" w:hAnsi="Arial" w:cs="Arial"/>
          <w:b/>
          <w:bCs/>
          <w:sz w:val="20"/>
          <w:szCs w:val="20"/>
        </w:rPr>
      </w:pPr>
      <w:r w:rsidRPr="000C17D3">
        <w:rPr>
          <w:rFonts w:ascii="Arial" w:hAnsi="Arial" w:cs="Arial"/>
          <w:b/>
          <w:bCs/>
          <w:sz w:val="20"/>
          <w:szCs w:val="20"/>
        </w:rPr>
        <w:lastRenderedPageBreak/>
        <w:t>Piacbővítés és portfóliófejlesztés</w:t>
      </w:r>
    </w:p>
    <w:p w14:paraId="3EF6B0FB"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Támogatható a diverzifikációhoz kapcsolódó piacfelmérés, piackutatás, marketingtevékenység, valamint hazai és nemzetközi vásárokon, kiállításokon való részvétel.</w:t>
      </w:r>
    </w:p>
    <w:p w14:paraId="18F0568B" w14:textId="77777777" w:rsidR="000C17D3" w:rsidRPr="000C17D3" w:rsidRDefault="000C17D3" w:rsidP="000C17D3">
      <w:pPr>
        <w:jc w:val="both"/>
        <w:rPr>
          <w:rFonts w:ascii="Arial" w:hAnsi="Arial" w:cs="Arial"/>
          <w:sz w:val="20"/>
          <w:szCs w:val="20"/>
        </w:rPr>
      </w:pPr>
      <w:r w:rsidRPr="000C17D3">
        <w:rPr>
          <w:rFonts w:ascii="Arial" w:hAnsi="Arial" w:cs="Arial"/>
          <w:sz w:val="20"/>
          <w:szCs w:val="20"/>
        </w:rPr>
        <w:t>Az e körbe tartozó projektelemek költsége legfeljebb a teljes elszámolható költség 10%-a lehet.</w:t>
      </w:r>
    </w:p>
    <w:p w14:paraId="78CD0092" w14:textId="718B693F"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6. Elszámolható költségek</w:t>
      </w:r>
    </w:p>
    <w:p w14:paraId="6B9BE4E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konstrukció keretében – az egyes alcélokhoz kapcsolódó feltételek és költségkorlátok figyelembevételével – elszámolható lehet többek között a projekt-előkészítés és tervezés, építési és korszerűsítési munkák, új tárgyi eszközök és immateriális javak beszerzése, műszaki ellenőrzés, mérnöki és szakértői szolgáltatások, képzés, marketing, projektmenedzsment, nyilvánosság és egyes hatósági, jogi, valamint biztosítási költségek.</w:t>
      </w:r>
    </w:p>
    <w:p w14:paraId="56A9B2D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A diverzifikációs </w:t>
      </w:r>
      <w:proofErr w:type="spellStart"/>
      <w:r w:rsidRPr="00C550D2">
        <w:rPr>
          <w:rFonts w:ascii="Arial" w:hAnsi="Arial" w:cs="Arial"/>
          <w:sz w:val="20"/>
          <w:szCs w:val="20"/>
        </w:rPr>
        <w:t>alcél</w:t>
      </w:r>
      <w:proofErr w:type="spellEnd"/>
      <w:r w:rsidRPr="00C550D2">
        <w:rPr>
          <w:rFonts w:ascii="Arial" w:hAnsi="Arial" w:cs="Arial"/>
          <w:sz w:val="20"/>
          <w:szCs w:val="20"/>
        </w:rPr>
        <w:t xml:space="preserve"> esetében a végleges felhívás az alábbi fontosabb költségkorlátokat határozza meg: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34"/>
        <w:gridCol w:w="1621"/>
      </w:tblGrid>
      <w:tr w:rsidR="00C550D2" w:rsidRPr="00C550D2" w14:paraId="7C06C748" w14:textId="77777777">
        <w:trPr>
          <w:tblCellSpacing w:w="15" w:type="dxa"/>
        </w:trPr>
        <w:tc>
          <w:tcPr>
            <w:tcW w:w="0" w:type="auto"/>
            <w:vAlign w:val="center"/>
            <w:hideMark/>
          </w:tcPr>
          <w:p w14:paraId="473F7145"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Költségtípus</w:t>
            </w:r>
          </w:p>
        </w:tc>
        <w:tc>
          <w:tcPr>
            <w:tcW w:w="0" w:type="auto"/>
            <w:vAlign w:val="center"/>
            <w:hideMark/>
          </w:tcPr>
          <w:p w14:paraId="67E94B9D"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Maximális arány</w:t>
            </w:r>
          </w:p>
        </w:tc>
      </w:tr>
      <w:tr w:rsidR="00C550D2" w:rsidRPr="00C550D2" w14:paraId="7BA225A1" w14:textId="77777777">
        <w:trPr>
          <w:tblCellSpacing w:w="15" w:type="dxa"/>
        </w:trPr>
        <w:tc>
          <w:tcPr>
            <w:tcW w:w="0" w:type="auto"/>
            <w:vAlign w:val="center"/>
            <w:hideMark/>
          </w:tcPr>
          <w:p w14:paraId="2B182206"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Projekt-előkészítés, tervezés</w:t>
            </w:r>
          </w:p>
        </w:tc>
        <w:tc>
          <w:tcPr>
            <w:tcW w:w="0" w:type="auto"/>
            <w:vAlign w:val="center"/>
            <w:hideMark/>
          </w:tcPr>
          <w:p w14:paraId="57DE063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5%</w:t>
            </w:r>
          </w:p>
        </w:tc>
      </w:tr>
      <w:tr w:rsidR="00C550D2" w:rsidRPr="00C550D2" w14:paraId="1E64563D" w14:textId="77777777">
        <w:trPr>
          <w:tblCellSpacing w:w="15" w:type="dxa"/>
        </w:trPr>
        <w:tc>
          <w:tcPr>
            <w:tcW w:w="0" w:type="auto"/>
            <w:vAlign w:val="center"/>
            <w:hideMark/>
          </w:tcPr>
          <w:p w14:paraId="168A78A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Egyéb mérnöki, szakértői és tanácsadási költségek</w:t>
            </w:r>
          </w:p>
        </w:tc>
        <w:tc>
          <w:tcPr>
            <w:tcW w:w="0" w:type="auto"/>
            <w:vAlign w:val="center"/>
            <w:hideMark/>
          </w:tcPr>
          <w:p w14:paraId="5943F03E"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5%</w:t>
            </w:r>
          </w:p>
        </w:tc>
      </w:tr>
      <w:tr w:rsidR="00C550D2" w:rsidRPr="00C550D2" w14:paraId="07265E7D" w14:textId="77777777">
        <w:trPr>
          <w:tblCellSpacing w:w="15" w:type="dxa"/>
        </w:trPr>
        <w:tc>
          <w:tcPr>
            <w:tcW w:w="0" w:type="auto"/>
            <w:vAlign w:val="center"/>
            <w:hideMark/>
          </w:tcPr>
          <w:p w14:paraId="0A4D223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Műszaki ellenőrzés</w:t>
            </w:r>
          </w:p>
        </w:tc>
        <w:tc>
          <w:tcPr>
            <w:tcW w:w="0" w:type="auto"/>
            <w:vAlign w:val="center"/>
            <w:hideMark/>
          </w:tcPr>
          <w:p w14:paraId="4C26CA2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1%</w:t>
            </w:r>
          </w:p>
        </w:tc>
      </w:tr>
      <w:tr w:rsidR="00C550D2" w:rsidRPr="00C550D2" w14:paraId="1D829931" w14:textId="77777777">
        <w:trPr>
          <w:tblCellSpacing w:w="15" w:type="dxa"/>
        </w:trPr>
        <w:tc>
          <w:tcPr>
            <w:tcW w:w="0" w:type="auto"/>
            <w:vAlign w:val="center"/>
            <w:hideMark/>
          </w:tcPr>
          <w:p w14:paraId="6603A1D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Projektmenedzsment</w:t>
            </w:r>
          </w:p>
        </w:tc>
        <w:tc>
          <w:tcPr>
            <w:tcW w:w="0" w:type="auto"/>
            <w:vAlign w:val="center"/>
            <w:hideMark/>
          </w:tcPr>
          <w:p w14:paraId="3464E3C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2,5%</w:t>
            </w:r>
          </w:p>
        </w:tc>
      </w:tr>
      <w:tr w:rsidR="00C550D2" w:rsidRPr="00C550D2" w14:paraId="3268B5F9" w14:textId="77777777">
        <w:trPr>
          <w:tblCellSpacing w:w="15" w:type="dxa"/>
        </w:trPr>
        <w:tc>
          <w:tcPr>
            <w:tcW w:w="0" w:type="auto"/>
            <w:vAlign w:val="center"/>
            <w:hideMark/>
          </w:tcPr>
          <w:p w14:paraId="363BAF1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Tájékoztatás, nyilvánosság</w:t>
            </w:r>
          </w:p>
        </w:tc>
        <w:tc>
          <w:tcPr>
            <w:tcW w:w="0" w:type="auto"/>
            <w:vAlign w:val="center"/>
            <w:hideMark/>
          </w:tcPr>
          <w:p w14:paraId="2AB9BBDC"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0,5%</w:t>
            </w:r>
          </w:p>
        </w:tc>
      </w:tr>
      <w:tr w:rsidR="00C550D2" w:rsidRPr="00C550D2" w14:paraId="529D3A49" w14:textId="77777777">
        <w:trPr>
          <w:tblCellSpacing w:w="15" w:type="dxa"/>
        </w:trPr>
        <w:tc>
          <w:tcPr>
            <w:tcW w:w="0" w:type="auto"/>
            <w:vAlign w:val="center"/>
            <w:hideMark/>
          </w:tcPr>
          <w:p w14:paraId="7619DD2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Horizontális követelmények teljesítéséhez kapcsolódó beszerzések</w:t>
            </w:r>
          </w:p>
        </w:tc>
        <w:tc>
          <w:tcPr>
            <w:tcW w:w="0" w:type="auto"/>
            <w:vAlign w:val="center"/>
            <w:hideMark/>
          </w:tcPr>
          <w:p w14:paraId="59454CB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0,5%</w:t>
            </w:r>
          </w:p>
        </w:tc>
      </w:tr>
      <w:tr w:rsidR="00C550D2" w:rsidRPr="00C550D2" w14:paraId="059B8554" w14:textId="77777777">
        <w:trPr>
          <w:tblCellSpacing w:w="15" w:type="dxa"/>
        </w:trPr>
        <w:tc>
          <w:tcPr>
            <w:tcW w:w="0" w:type="auto"/>
            <w:vAlign w:val="center"/>
            <w:hideMark/>
          </w:tcPr>
          <w:p w14:paraId="74D1DDA1"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Építés, átalakítás, bővítés, korszerűsítés</w:t>
            </w:r>
          </w:p>
        </w:tc>
        <w:tc>
          <w:tcPr>
            <w:tcW w:w="0" w:type="auto"/>
            <w:vAlign w:val="center"/>
            <w:hideMark/>
          </w:tcPr>
          <w:p w14:paraId="323064E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40%</w:t>
            </w:r>
          </w:p>
        </w:tc>
      </w:tr>
      <w:tr w:rsidR="00C550D2" w:rsidRPr="00C550D2" w14:paraId="161747CB" w14:textId="77777777">
        <w:trPr>
          <w:tblCellSpacing w:w="15" w:type="dxa"/>
        </w:trPr>
        <w:tc>
          <w:tcPr>
            <w:tcW w:w="0" w:type="auto"/>
            <w:vAlign w:val="center"/>
            <w:hideMark/>
          </w:tcPr>
          <w:p w14:paraId="3A569CB7"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Marketingeszközök fejlesztése, piackutatás</w:t>
            </w:r>
          </w:p>
        </w:tc>
        <w:tc>
          <w:tcPr>
            <w:tcW w:w="0" w:type="auto"/>
            <w:vAlign w:val="center"/>
            <w:hideMark/>
          </w:tcPr>
          <w:p w14:paraId="27C6F0F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10%</w:t>
            </w:r>
          </w:p>
        </w:tc>
      </w:tr>
      <w:tr w:rsidR="00C550D2" w:rsidRPr="00C550D2" w14:paraId="512FFD00" w14:textId="77777777">
        <w:trPr>
          <w:tblCellSpacing w:w="15" w:type="dxa"/>
        </w:trPr>
        <w:tc>
          <w:tcPr>
            <w:tcW w:w="0" w:type="auto"/>
            <w:vAlign w:val="center"/>
            <w:hideMark/>
          </w:tcPr>
          <w:p w14:paraId="1629E73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Termelésoptimalizáló rendszer</w:t>
            </w:r>
          </w:p>
        </w:tc>
        <w:tc>
          <w:tcPr>
            <w:tcW w:w="0" w:type="auto"/>
            <w:vAlign w:val="center"/>
            <w:hideMark/>
          </w:tcPr>
          <w:p w14:paraId="6098638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20%</w:t>
            </w:r>
          </w:p>
        </w:tc>
      </w:tr>
    </w:tbl>
    <w:p w14:paraId="3909CE9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szakmai megvalósításhoz kapcsolódó szolgáltatások esetében legfeljebb nettó 25 000 Ft/</w:t>
      </w:r>
      <w:proofErr w:type="gramStart"/>
      <w:r w:rsidRPr="00C550D2">
        <w:rPr>
          <w:rFonts w:ascii="Arial" w:hAnsi="Arial" w:cs="Arial"/>
          <w:sz w:val="20"/>
          <w:szCs w:val="20"/>
        </w:rPr>
        <w:t>óra díj</w:t>
      </w:r>
      <w:proofErr w:type="gramEnd"/>
      <w:r w:rsidRPr="00C550D2">
        <w:rPr>
          <w:rFonts w:ascii="Arial" w:hAnsi="Arial" w:cs="Arial"/>
          <w:sz w:val="20"/>
          <w:szCs w:val="20"/>
        </w:rPr>
        <w:t xml:space="preserve"> számolható el.</w:t>
      </w:r>
    </w:p>
    <w:p w14:paraId="4847CF7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Az építési költségekre további fajlagos költségkorlátok is vonatkoznak, amelyeket a konkrét beruházás költségvetésének összeállításakor ellenőrizni szükséges.</w:t>
      </w:r>
    </w:p>
    <w:p w14:paraId="05EF3385"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7. Fontosabb nem elszámolható költségek</w:t>
      </w:r>
    </w:p>
    <w:p w14:paraId="449831A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Nem finanszírozható többek között az ingatlan- és földvásárlás, a járműbeszerzés, a belső égésű motorral felszerelt eszközök beszerzése, a pályázatírói költség, valamint a fosszilis tüzelőanyagok előállításához, feldolgozásához, szállításához, forgalmazásához, tárolásához vagy égetéséhez kapcsolódó beruházás.</w:t>
      </w:r>
    </w:p>
    <w:p w14:paraId="1DB4F62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Nem támogatható továbbá a hálózatra történő villamosenergia-termelést szolgáló napelempark.</w:t>
      </w:r>
    </w:p>
    <w:p w14:paraId="4254425C"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A projekt költségvetésében kizárólag a beruházáshoz közvetlenül kapcsolódó, szükséges és a felhívás szabályai szerint elszámolható költségek szerepeltethetők. Ugyanazon költségtételre más uniós </w:t>
      </w:r>
      <w:proofErr w:type="spellStart"/>
      <w:r w:rsidRPr="00C550D2">
        <w:rPr>
          <w:rFonts w:ascii="Arial" w:hAnsi="Arial" w:cs="Arial"/>
          <w:sz w:val="20"/>
          <w:szCs w:val="20"/>
        </w:rPr>
        <w:t>finanszírozású</w:t>
      </w:r>
      <w:proofErr w:type="spellEnd"/>
      <w:r w:rsidRPr="00C550D2">
        <w:rPr>
          <w:rFonts w:ascii="Arial" w:hAnsi="Arial" w:cs="Arial"/>
          <w:sz w:val="20"/>
          <w:szCs w:val="20"/>
        </w:rPr>
        <w:t xml:space="preserve"> támogatás nem vehető igénybe.</w:t>
      </w:r>
    </w:p>
    <w:p w14:paraId="1528C10F" w14:textId="77777777" w:rsidR="000C17D3" w:rsidRDefault="000C17D3" w:rsidP="00C550D2">
      <w:pPr>
        <w:jc w:val="both"/>
        <w:rPr>
          <w:rFonts w:ascii="Arial" w:hAnsi="Arial" w:cs="Arial"/>
          <w:b/>
          <w:bCs/>
          <w:sz w:val="20"/>
          <w:szCs w:val="20"/>
        </w:rPr>
      </w:pPr>
      <w:r>
        <w:rPr>
          <w:rFonts w:ascii="Arial" w:hAnsi="Arial" w:cs="Arial"/>
          <w:b/>
          <w:bCs/>
          <w:sz w:val="20"/>
          <w:szCs w:val="20"/>
        </w:rPr>
        <w:br w:type="page"/>
      </w:r>
    </w:p>
    <w:p w14:paraId="3582977E" w14:textId="72A092B3"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lastRenderedPageBreak/>
        <w:t>8. Kötelező vállalások és eredményességi kritériumok</w:t>
      </w:r>
    </w:p>
    <w:p w14:paraId="6DFA8EF8"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vissza nem térítendő támogatási rész megtartása szempontjából kiemelten fontos az eredményességi kritériumok teljesítése.</w:t>
      </w:r>
    </w:p>
    <w:p w14:paraId="404BA3E6"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Az eredményesség ellenőrzésére a projektmegvalósítás során, de legkésőbb a türelmi idő lejárata előtti 60. napig benyújtott dokumentumok alapján, a türelmi idő lejártát megelőző 30. napig kerül sor.</w:t>
      </w:r>
    </w:p>
    <w:p w14:paraId="30DB864C"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Energiahatékonysági és technológiaváltási projektek</w:t>
      </w:r>
    </w:p>
    <w:p w14:paraId="70BBDFF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Energiahatékonysági fejlesztés esetében legalább 30%-os primerenergia-megtakarítást kell elérni.</w:t>
      </w:r>
    </w:p>
    <w:p w14:paraId="728CA03C"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ÜHG-kibocsátást csökkentő technológiaváltás esetében igazolt éves kibocsátáscsökkenés szükséges, a termelési kapacitás megtartásával.</w:t>
      </w:r>
    </w:p>
    <w:p w14:paraId="17EC07F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végleges felhívás kifejezetten rögzíti, hogy a primerenergia-megtakarítás, illetve az előírt kibocsátáscsökkenés elérése alapjogosultsági feltétel. Amennyiben ezek nem teljesülnek, a projekt szabálytalanná válik, és a teljes folyósított finanszírozási összeg visszakövetelésre kerülhet az Eljárási Rend szerint.</w:t>
      </w:r>
    </w:p>
    <w:p w14:paraId="54FA9DC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Az eredményességet a beruházás előtti és utáni állapotot alátámasztó energetikai dokumentációval kell igazolni.</w:t>
      </w:r>
    </w:p>
    <w:p w14:paraId="2D835EE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Munkahelymegtartás a diverzifikációs alcélnál</w:t>
      </w:r>
    </w:p>
    <w:p w14:paraId="23DC1FE1"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diverzifikációs projektek esetében kötelező eredményességi kritérium a munkahelymegtartás.</w:t>
      </w:r>
    </w:p>
    <w:p w14:paraId="4EBFC66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kölcsönkérelem benyújtását megelőző 12 hónapra számított FTE-értéket kell összehasonlítani a projekt befejezését követő 12 hónap FTE-értékével. A projekt utáni értéknek el kell érnie vagy meg kell haladnia a bázisértéket.</w:t>
      </w:r>
    </w:p>
    <w:p w14:paraId="2E2BBBE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Az FTE teljes munkaidős egyenértéket jelent. Meghatározásánál a ténylegesen ledolgozott munkaórákat kell figyelembe venni, ezért a részmunkaidős foglalkoztatás is arányosan számít.</w:t>
      </w:r>
    </w:p>
    <w:p w14:paraId="5ED38BB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teljesítés igazolására a vállalkozás belső munkaügyi nyilvántartása vagy a NAV-</w:t>
      </w:r>
      <w:proofErr w:type="spellStart"/>
      <w:r w:rsidRPr="00C550D2">
        <w:rPr>
          <w:rFonts w:ascii="Arial" w:hAnsi="Arial" w:cs="Arial"/>
          <w:sz w:val="20"/>
          <w:szCs w:val="20"/>
        </w:rPr>
        <w:t>tól</w:t>
      </w:r>
      <w:proofErr w:type="spellEnd"/>
      <w:r w:rsidRPr="00C550D2">
        <w:rPr>
          <w:rFonts w:ascii="Arial" w:hAnsi="Arial" w:cs="Arial"/>
          <w:sz w:val="20"/>
          <w:szCs w:val="20"/>
        </w:rPr>
        <w:t xml:space="preserve"> származó foglalkoztatási adatok használhatók.</w:t>
      </w:r>
    </w:p>
    <w:p w14:paraId="74A4CC2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Amennyiben a munkahelymegtartás célértéke nem teljesül, a teljes folyósított finanszírozási összeg kamatmentes kölcsönné alakul, vagyis a vállalkozás elveszíti a vissza nem térítendő támogatási részt.</w:t>
      </w:r>
    </w:p>
    <w:p w14:paraId="713966C8"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9. Indikátorok</w:t>
      </w:r>
    </w:p>
    <w:p w14:paraId="42290CD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program keretében a projektek hozzájárulnak a KEHOP Plusz meghatározott kimeneti és eredményindikátorainak teljesítéséhez.</w:t>
      </w:r>
    </w:p>
    <w:p w14:paraId="3BDEED53"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végleges felhívás szerint az ott meghatározott indikátorok esetében a végső kedvezményezetteknek projektszinten nem szükséges külön elérendő célértéket meghatározniuk.</w:t>
      </w:r>
    </w:p>
    <w:p w14:paraId="724352B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program indikátorai között szerepelnek a támogatott vállalkozások számára és méretére vonatkozó mutatók, így különösen:</w:t>
      </w:r>
    </w:p>
    <w:p w14:paraId="1BC9B803" w14:textId="77777777" w:rsidR="00C550D2" w:rsidRPr="00C550D2" w:rsidRDefault="00C550D2" w:rsidP="00C550D2">
      <w:pPr>
        <w:numPr>
          <w:ilvl w:val="0"/>
          <w:numId w:val="30"/>
        </w:numPr>
        <w:jc w:val="both"/>
        <w:rPr>
          <w:rFonts w:ascii="Arial" w:hAnsi="Arial" w:cs="Arial"/>
          <w:sz w:val="20"/>
          <w:szCs w:val="20"/>
        </w:rPr>
      </w:pPr>
      <w:r w:rsidRPr="00C550D2">
        <w:rPr>
          <w:rFonts w:ascii="Arial" w:hAnsi="Arial" w:cs="Arial"/>
          <w:sz w:val="20"/>
          <w:szCs w:val="20"/>
        </w:rPr>
        <w:t>RCO01 – Támogatott vállalkozások;</w:t>
      </w:r>
    </w:p>
    <w:p w14:paraId="24A50A1B" w14:textId="77777777" w:rsidR="00C550D2" w:rsidRPr="00C550D2" w:rsidRDefault="00C550D2" w:rsidP="00C550D2">
      <w:pPr>
        <w:numPr>
          <w:ilvl w:val="0"/>
          <w:numId w:val="30"/>
        </w:numPr>
        <w:jc w:val="both"/>
        <w:rPr>
          <w:rFonts w:ascii="Arial" w:hAnsi="Arial" w:cs="Arial"/>
          <w:sz w:val="20"/>
          <w:szCs w:val="20"/>
        </w:rPr>
      </w:pPr>
      <w:r w:rsidRPr="00C550D2">
        <w:rPr>
          <w:rFonts w:ascii="Arial" w:hAnsi="Arial" w:cs="Arial"/>
          <w:sz w:val="20"/>
          <w:szCs w:val="20"/>
        </w:rPr>
        <w:t>RCO03 – Pénzügyi eszközök által támogatott vállalkozások.</w:t>
      </w:r>
    </w:p>
    <w:p w14:paraId="6A817E6E"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Az energiahatékonysági fejlesztéseknél az éves elsődlegesenergia-fogyasztás csökkenése, a technológiaváltási fejlesztéseknél az éves ÜHG-kibocsátás csökkenése szintén fontos szakmai mutató.</w:t>
      </w:r>
    </w:p>
    <w:p w14:paraId="04DC2CE3"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Ezeket meg kell különböztetni a projekt eredményességi kritériumaitól. Az energiahatékonysági projektek legalább 30%-os primerenergia-megtakarítása, az ÜHG-csökkentési projektek igazolt </w:t>
      </w:r>
      <w:r w:rsidRPr="00C550D2">
        <w:rPr>
          <w:rFonts w:ascii="Arial" w:hAnsi="Arial" w:cs="Arial"/>
          <w:sz w:val="20"/>
          <w:szCs w:val="20"/>
        </w:rPr>
        <w:lastRenderedPageBreak/>
        <w:t>kibocsátáscsökkenése, valamint a diverzifikációs projektek munkahelymegtartási kötelezettsége továbbra is kötelezően teljesítendő feltétel.</w:t>
      </w:r>
    </w:p>
    <w:p w14:paraId="0DB2BBA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Az indikátorok részletes meghatározását a felhívás 1. és 2. számú melléklete tartalmazza.</w:t>
      </w:r>
    </w:p>
    <w:p w14:paraId="1CD608E8"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10. Horizontális vállalások</w:t>
      </w:r>
    </w:p>
    <w:p w14:paraId="5A205CD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Minden támogatott projekt esetében kötelező a horizontális elveknek, köztük a „ne okozz jelentős kárt” (DNSH) elvnek való megfelelés.</w:t>
      </w:r>
    </w:p>
    <w:p w14:paraId="26964C3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kölcsönhöz kapcsolódó támogatástartalom függvényében további környezet- és természetvédelmi, illetve esélyegyenlőségi követelményeket is teljesíteni kell.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8"/>
        <w:gridCol w:w="6704"/>
      </w:tblGrid>
      <w:tr w:rsidR="00C550D2" w:rsidRPr="00C550D2" w14:paraId="4208BAC4" w14:textId="77777777">
        <w:trPr>
          <w:tblCellSpacing w:w="15" w:type="dxa"/>
        </w:trPr>
        <w:tc>
          <w:tcPr>
            <w:tcW w:w="0" w:type="auto"/>
            <w:vAlign w:val="center"/>
            <w:hideMark/>
          </w:tcPr>
          <w:p w14:paraId="6EF5D475"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Várható támogatástartalom</w:t>
            </w:r>
          </w:p>
        </w:tc>
        <w:tc>
          <w:tcPr>
            <w:tcW w:w="0" w:type="auto"/>
            <w:vAlign w:val="center"/>
            <w:hideMark/>
          </w:tcPr>
          <w:p w14:paraId="67E4727B"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Kötelező vállalás</w:t>
            </w:r>
          </w:p>
        </w:tc>
      </w:tr>
      <w:tr w:rsidR="00C550D2" w:rsidRPr="00C550D2" w14:paraId="430DDE86" w14:textId="77777777">
        <w:trPr>
          <w:tblCellSpacing w:w="15" w:type="dxa"/>
        </w:trPr>
        <w:tc>
          <w:tcPr>
            <w:tcW w:w="0" w:type="auto"/>
            <w:vAlign w:val="center"/>
            <w:hideMark/>
          </w:tcPr>
          <w:p w14:paraId="63F1C220"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50 millió Ft alatt</w:t>
            </w:r>
          </w:p>
        </w:tc>
        <w:tc>
          <w:tcPr>
            <w:tcW w:w="0" w:type="auto"/>
            <w:vAlign w:val="center"/>
            <w:hideMark/>
          </w:tcPr>
          <w:p w14:paraId="4CB1260F"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Nincs további választható követelmény</w:t>
            </w:r>
          </w:p>
        </w:tc>
      </w:tr>
      <w:tr w:rsidR="00C550D2" w:rsidRPr="00C550D2" w14:paraId="1A41E853" w14:textId="77777777">
        <w:trPr>
          <w:tblCellSpacing w:w="15" w:type="dxa"/>
        </w:trPr>
        <w:tc>
          <w:tcPr>
            <w:tcW w:w="0" w:type="auto"/>
            <w:vAlign w:val="center"/>
            <w:hideMark/>
          </w:tcPr>
          <w:p w14:paraId="061E82B1"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50–100 millió Ft között</w:t>
            </w:r>
          </w:p>
        </w:tc>
        <w:tc>
          <w:tcPr>
            <w:tcW w:w="0" w:type="auto"/>
            <w:vAlign w:val="center"/>
            <w:hideMark/>
          </w:tcPr>
          <w:p w14:paraId="5B8862C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Legalább 1 környezet-/természetvédelmi és/vagy esélyegyenlőségi követelmény</w:t>
            </w:r>
          </w:p>
        </w:tc>
      </w:tr>
      <w:tr w:rsidR="00C550D2" w:rsidRPr="00C550D2" w14:paraId="6510EC79" w14:textId="77777777">
        <w:trPr>
          <w:tblCellSpacing w:w="15" w:type="dxa"/>
        </w:trPr>
        <w:tc>
          <w:tcPr>
            <w:tcW w:w="0" w:type="auto"/>
            <w:vAlign w:val="center"/>
            <w:hideMark/>
          </w:tcPr>
          <w:p w14:paraId="6D7A79F0"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100 millió Ft felett</w:t>
            </w:r>
          </w:p>
        </w:tc>
        <w:tc>
          <w:tcPr>
            <w:tcW w:w="0" w:type="auto"/>
            <w:vAlign w:val="center"/>
            <w:hideMark/>
          </w:tcPr>
          <w:p w14:paraId="0EA4D876"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Legalább 2 követelmény, amelyek közül legalább egy környezet-/természetvédelmi és egy esélyegyenlőségi</w:t>
            </w:r>
          </w:p>
        </w:tc>
      </w:tr>
    </w:tbl>
    <w:p w14:paraId="554CD458"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választott követelményeket a kölcsönkérelemben kell megjelölni, teljesítésüket pedig a projektzáró nyilatkozatban szükséges bemutatni.</w:t>
      </w:r>
    </w:p>
    <w:p w14:paraId="7F7B0D81" w14:textId="77777777" w:rsidR="00C550D2" w:rsidRPr="00C550D2" w:rsidRDefault="00C550D2" w:rsidP="00C550D2">
      <w:pPr>
        <w:jc w:val="both"/>
        <w:rPr>
          <w:rFonts w:ascii="Arial" w:hAnsi="Arial" w:cs="Arial"/>
          <w:sz w:val="20"/>
          <w:szCs w:val="20"/>
        </w:rPr>
      </w:pPr>
      <w:proofErr w:type="spellStart"/>
      <w:r w:rsidRPr="00C550D2">
        <w:rPr>
          <w:rFonts w:ascii="Arial" w:hAnsi="Arial" w:cs="Arial"/>
          <w:sz w:val="20"/>
          <w:szCs w:val="20"/>
        </w:rPr>
        <w:t>Újrahasznosítási</w:t>
      </w:r>
      <w:proofErr w:type="spellEnd"/>
      <w:r w:rsidRPr="00C550D2">
        <w:rPr>
          <w:rFonts w:ascii="Arial" w:hAnsi="Arial" w:cs="Arial"/>
          <w:sz w:val="20"/>
          <w:szCs w:val="20"/>
        </w:rPr>
        <w:t xml:space="preserve"> követelmények</w:t>
      </w:r>
    </w:p>
    <w:p w14:paraId="2EC2106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A 150 millió Ft-ot meghaladó építési költségű beruházások esetében kötelező </w:t>
      </w:r>
      <w:proofErr w:type="spellStart"/>
      <w:r w:rsidRPr="00C550D2">
        <w:rPr>
          <w:rFonts w:ascii="Arial" w:hAnsi="Arial" w:cs="Arial"/>
          <w:sz w:val="20"/>
          <w:szCs w:val="20"/>
        </w:rPr>
        <w:t>újrahasznosítási</w:t>
      </w:r>
      <w:proofErr w:type="spellEnd"/>
      <w:r w:rsidRPr="00C550D2">
        <w:rPr>
          <w:rFonts w:ascii="Arial" w:hAnsi="Arial" w:cs="Arial"/>
          <w:sz w:val="20"/>
          <w:szCs w:val="20"/>
        </w:rPr>
        <w:t xml:space="preserve"> terv készítése, legkésőbb a kiviteli terv elkészítése során.</w:t>
      </w:r>
    </w:p>
    <w:p w14:paraId="65FB8FF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A követelmény célja, hogy a kivitelezés során felhasznált újrahasznosított, </w:t>
      </w:r>
      <w:proofErr w:type="spellStart"/>
      <w:r w:rsidRPr="00C550D2">
        <w:rPr>
          <w:rFonts w:ascii="Arial" w:hAnsi="Arial" w:cs="Arial"/>
          <w:sz w:val="20"/>
          <w:szCs w:val="20"/>
        </w:rPr>
        <w:t>újrafelhasznált</w:t>
      </w:r>
      <w:proofErr w:type="spellEnd"/>
      <w:r w:rsidRPr="00C550D2">
        <w:rPr>
          <w:rFonts w:ascii="Arial" w:hAnsi="Arial" w:cs="Arial"/>
          <w:sz w:val="20"/>
          <w:szCs w:val="20"/>
        </w:rPr>
        <w:t xml:space="preserve"> anyagok és melléktermékek aránya elérje a legalább 30 tömegszázalékot, továbbá a meghatározott nem veszélyes építési és bontási hulladék legalább 70 tömegszázalékát előkészítsék </w:t>
      </w:r>
      <w:proofErr w:type="spellStart"/>
      <w:r w:rsidRPr="00C550D2">
        <w:rPr>
          <w:rFonts w:ascii="Arial" w:hAnsi="Arial" w:cs="Arial"/>
          <w:sz w:val="20"/>
          <w:szCs w:val="20"/>
        </w:rPr>
        <w:t>újrahasználatra</w:t>
      </w:r>
      <w:proofErr w:type="spellEnd"/>
      <w:r w:rsidRPr="00C550D2">
        <w:rPr>
          <w:rFonts w:ascii="Arial" w:hAnsi="Arial" w:cs="Arial"/>
          <w:sz w:val="20"/>
          <w:szCs w:val="20"/>
        </w:rPr>
        <w:t>, újrafeldolgozásra vagy egyéb anyaghasznosításra.</w:t>
      </w:r>
    </w:p>
    <w:p w14:paraId="7ECFB79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végleges felhívás külön rendelkezik azokról az esetekről is, amikor a beruházás adottságai miatt valamelyik cél nem teljesíthető.</w:t>
      </w:r>
    </w:p>
    <w:p w14:paraId="01C25401"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Madár- és denevérvédelmi követelmények</w:t>
      </w:r>
    </w:p>
    <w:p w14:paraId="171D5680"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Épületenergiahatékonysági beruházások esetében a madár- és denevérvédelmi szempontokat figyelembe kell venni.</w:t>
      </w:r>
    </w:p>
    <w:p w14:paraId="5B8C1F7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végleges felhívás pontosítja az előzetes felmérés elkészítésének feltételeit:</w:t>
      </w:r>
    </w:p>
    <w:p w14:paraId="299F8367" w14:textId="77777777" w:rsidR="00C550D2" w:rsidRPr="00C550D2" w:rsidRDefault="00C550D2" w:rsidP="00C550D2">
      <w:pPr>
        <w:numPr>
          <w:ilvl w:val="0"/>
          <w:numId w:val="31"/>
        </w:numPr>
        <w:jc w:val="both"/>
        <w:rPr>
          <w:rFonts w:ascii="Arial" w:hAnsi="Arial" w:cs="Arial"/>
          <w:sz w:val="20"/>
          <w:szCs w:val="20"/>
        </w:rPr>
      </w:pPr>
      <w:r w:rsidRPr="00C550D2">
        <w:rPr>
          <w:rFonts w:ascii="Arial" w:hAnsi="Arial" w:cs="Arial"/>
          <w:sz w:val="20"/>
          <w:szCs w:val="20"/>
        </w:rPr>
        <w:t>100 millió Ft alatti kölcsönhöz kapcsolódó támogatástartalom esetén a felmérést a kivitelező vállalkozó készítheti;</w:t>
      </w:r>
    </w:p>
    <w:p w14:paraId="6780CD39" w14:textId="77777777" w:rsidR="00C550D2" w:rsidRPr="00C550D2" w:rsidRDefault="00C550D2" w:rsidP="00C550D2">
      <w:pPr>
        <w:numPr>
          <w:ilvl w:val="0"/>
          <w:numId w:val="31"/>
        </w:numPr>
        <w:jc w:val="both"/>
        <w:rPr>
          <w:rFonts w:ascii="Arial" w:hAnsi="Arial" w:cs="Arial"/>
          <w:sz w:val="20"/>
          <w:szCs w:val="20"/>
        </w:rPr>
      </w:pPr>
      <w:r w:rsidRPr="00C550D2">
        <w:rPr>
          <w:rFonts w:ascii="Arial" w:hAnsi="Arial" w:cs="Arial"/>
          <w:sz w:val="20"/>
          <w:szCs w:val="20"/>
        </w:rPr>
        <w:t>legalább 100 millió Ft támogatástartalom esetén természetvédelmi szakértő bevonása szükséges.</w:t>
      </w:r>
    </w:p>
    <w:p w14:paraId="534DF67F"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teljesítést a projektzáró nyilatkozatban és szükség szerint fotódokumentációval kell igazolni.</w:t>
      </w:r>
    </w:p>
    <w:p w14:paraId="5EA14367" w14:textId="77777777" w:rsidR="000C17D3" w:rsidRDefault="000C17D3" w:rsidP="00C550D2">
      <w:pPr>
        <w:jc w:val="both"/>
        <w:rPr>
          <w:rFonts w:ascii="Arial" w:hAnsi="Arial" w:cs="Arial"/>
          <w:b/>
          <w:bCs/>
          <w:sz w:val="20"/>
          <w:szCs w:val="20"/>
        </w:rPr>
      </w:pPr>
      <w:r>
        <w:rPr>
          <w:rFonts w:ascii="Arial" w:hAnsi="Arial" w:cs="Arial"/>
          <w:b/>
          <w:bCs/>
          <w:sz w:val="20"/>
          <w:szCs w:val="20"/>
        </w:rPr>
        <w:br w:type="page"/>
      </w:r>
    </w:p>
    <w:p w14:paraId="70F64A77" w14:textId="5CDB282E"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lastRenderedPageBreak/>
        <w:t>11. A kérelemhez és a teljesítés igazolásához kapcsolódó főbb dokumentumok</w:t>
      </w:r>
    </w:p>
    <w:p w14:paraId="33939963"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kölcsönkérelmet az előírt nyomtatvány kitöltésével és a kötelező mellékletek csatolásával lehet benyújtani. Amennyiben bármely kötelező melléklet hiányzik, a kölcsönkérelem nem fogadható be.</w:t>
      </w:r>
    </w:p>
    <w:p w14:paraId="4070430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szakmai dokumentáció a választott alcéltól és a beruházás tartalmától függ.</w:t>
      </w:r>
    </w:p>
    <w:p w14:paraId="2DC7679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Energiahatékonysági fejlesztések esetében szükséges a kiinduló állapot és a tervezett megtakarítás energetikai alátámasztása. Épületenergetikai beruházásnál hiteles energetikai tanúsítvány és számítás, technológiai vagy komplex beruházásnál energetikai audit szükséges. A beruházás megvalósítását követően záró energetikai dokumentációval kell igazolni az eredményt.</w:t>
      </w:r>
    </w:p>
    <w:p w14:paraId="55DEBB3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ÜHG-kibocsátást csökkentő technológiaváltás esetében megfelelő szakértői dokumentáció szükséges a kiinduló és a tervezett állapot, valamint a kibocsátáscsökkenés alátámasztására. A tényleges eredményt a projekt befejezése után is igazolni kell.</w:t>
      </w:r>
    </w:p>
    <w:p w14:paraId="5CC1FEC1"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Diverzifikációs projekt esetében a munkahelymegtartási vállalás igazolásához a kölcsönkérelem benyújtását megelőző és a projekt befejezését követő 12 hónap FTE-értékét alátámasztó munkaügyi dokumentáció szükséges.</w:t>
      </w:r>
    </w:p>
    <w:p w14:paraId="19572C06"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A projekt tartalmától függően további dokumentum lehet a műszaki vagy kivitelezési terv, hatósági engedély, árajánlat, horizontális vállalásról szóló nyilatkozat, </w:t>
      </w:r>
      <w:proofErr w:type="spellStart"/>
      <w:r w:rsidRPr="00C550D2">
        <w:rPr>
          <w:rFonts w:ascii="Arial" w:hAnsi="Arial" w:cs="Arial"/>
          <w:sz w:val="20"/>
          <w:szCs w:val="20"/>
        </w:rPr>
        <w:t>újrahasznosítási</w:t>
      </w:r>
      <w:proofErr w:type="spellEnd"/>
      <w:r w:rsidRPr="00C550D2">
        <w:rPr>
          <w:rFonts w:ascii="Arial" w:hAnsi="Arial" w:cs="Arial"/>
          <w:sz w:val="20"/>
          <w:szCs w:val="20"/>
        </w:rPr>
        <w:t xml:space="preserve"> terv, madár- és denevérvédelmi előzetes felmérés, szakértői jogosultság igazolása, fotódokumentáció, projektzáró nyilatkozat és az eredményességi kritériumokat alátámasztó számítás.</w:t>
      </w:r>
    </w:p>
    <w:p w14:paraId="4040A9F6"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A teljes általános és banki dokumentációs lista tekintetében az MFB </w:t>
      </w:r>
      <w:proofErr w:type="spellStart"/>
      <w:r w:rsidRPr="00C550D2">
        <w:rPr>
          <w:rFonts w:ascii="Arial" w:hAnsi="Arial" w:cs="Arial"/>
          <w:sz w:val="20"/>
          <w:szCs w:val="20"/>
        </w:rPr>
        <w:t>kölcsönkérelmi</w:t>
      </w:r>
      <w:proofErr w:type="spellEnd"/>
      <w:r w:rsidRPr="00C550D2">
        <w:rPr>
          <w:rFonts w:ascii="Arial" w:hAnsi="Arial" w:cs="Arial"/>
          <w:sz w:val="20"/>
          <w:szCs w:val="20"/>
        </w:rPr>
        <w:t xml:space="preserve"> dokumentációja és az Eljárási Rend az irányadó.</w:t>
      </w:r>
    </w:p>
    <w:p w14:paraId="0BC51CA9"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12. A projekt megvalósítása és a finanszírozás futamideje</w:t>
      </w:r>
    </w:p>
    <w:p w14:paraId="23E92E27"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projekt fizikai és pénzügyi megvalósítására a kölcsönszerződés megkötésétől számított legfeljebb 24 hónap áll rendelkezésre.</w:t>
      </w:r>
    </w:p>
    <w:p w14:paraId="439C4ED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kölcsön futamideje alapvetően a beszerzendő eszközök amortizációjához igazodik, a végleges felhívás szerint jellemzően 24–82 hónap között alakulhat.</w:t>
      </w:r>
    </w:p>
    <w:p w14:paraId="5E8911D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Épületenergetikai beruházás, illetve ingatlanépítést, átalakítást vagy bővítést tartalmazó projekt esetében – az érintett ingatlan fedezeti bevonásával – a futamidő legfeljebb 120 hónap lehet.</w:t>
      </w:r>
    </w:p>
    <w:p w14:paraId="4B7EB52E"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rendelkezésre tartási idő a szerződéskötéstől számított minimum 6, maximum 24 hónap.</w:t>
      </w:r>
    </w:p>
    <w:p w14:paraId="56F98F8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türelmi idő az energiahatékonysági és technológiaváltási alcélnál a rendelkezésre tartási idő végétől számított minimum 3, maximum 6 hónap, míg a diverzifikációs alcélnál minimum 15, maximum 18 hónap.</w:t>
      </w:r>
    </w:p>
    <w:p w14:paraId="3F035A5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törlesztés a türelmi idő lejártát követően havonta, egyenlő tőketörlesztő részletekben történik.</w:t>
      </w:r>
    </w:p>
    <w:p w14:paraId="7EADE64A"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13. A kérelmek benyújtása</w:t>
      </w:r>
    </w:p>
    <w:p w14:paraId="70689C8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kölcsönkérelmek 2027. február 1-jétől 2027. október 31-ig, illetve a rendelkezésre álló keret kimerüléséig nyújthatók be.</w:t>
      </w:r>
    </w:p>
    <w:p w14:paraId="784A5D7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kérelmeket az MFB Pont Plusz hálózat megfelelő jogosultsággal rendelkező közvetítőinél lehet benyújtani, az adott fiók nyitvatartási idejében.</w:t>
      </w:r>
    </w:p>
    <w:p w14:paraId="57F1218E"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kérelmet főszabály szerint a projekttel kapcsolatos munkák megkezdése előtt kell benyújtani. A korábban megkezdett projektekre vonatkozó kivételek csak a felhívásban és az Eljárási Rendben meghatározott feltételek szerint alkalmazhatók.</w:t>
      </w:r>
    </w:p>
    <w:p w14:paraId="1A4D1722" w14:textId="77777777" w:rsidR="00C550D2" w:rsidRDefault="00C550D2" w:rsidP="00C550D2">
      <w:pPr>
        <w:jc w:val="both"/>
        <w:rPr>
          <w:rFonts w:ascii="Arial" w:hAnsi="Arial" w:cs="Arial"/>
          <w:b/>
          <w:bCs/>
          <w:sz w:val="20"/>
          <w:szCs w:val="20"/>
        </w:rPr>
      </w:pPr>
    </w:p>
    <w:p w14:paraId="58A137C0" w14:textId="08861129"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lastRenderedPageBreak/>
        <w:t>A tervezethez képest legfontosabb módosítások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8"/>
        <w:gridCol w:w="2709"/>
        <w:gridCol w:w="3665"/>
      </w:tblGrid>
      <w:tr w:rsidR="00C550D2" w:rsidRPr="00C550D2" w14:paraId="4B985B68" w14:textId="77777777" w:rsidTr="00C550D2">
        <w:trPr>
          <w:tblCellSpacing w:w="15" w:type="dxa"/>
        </w:trPr>
        <w:tc>
          <w:tcPr>
            <w:tcW w:w="0" w:type="auto"/>
            <w:vAlign w:val="center"/>
            <w:hideMark/>
          </w:tcPr>
          <w:p w14:paraId="3BE4A18F"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Témakör</w:t>
            </w:r>
          </w:p>
        </w:tc>
        <w:tc>
          <w:tcPr>
            <w:tcW w:w="0" w:type="auto"/>
            <w:vAlign w:val="center"/>
            <w:hideMark/>
          </w:tcPr>
          <w:p w14:paraId="4D16B880"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Tervezet alapján</w:t>
            </w:r>
          </w:p>
        </w:tc>
        <w:tc>
          <w:tcPr>
            <w:tcW w:w="0" w:type="auto"/>
            <w:vAlign w:val="center"/>
            <w:hideMark/>
          </w:tcPr>
          <w:p w14:paraId="7BB0E043" w14:textId="77777777" w:rsidR="00C550D2" w:rsidRPr="00C550D2" w:rsidRDefault="00C550D2" w:rsidP="00C550D2">
            <w:pPr>
              <w:jc w:val="both"/>
              <w:rPr>
                <w:rFonts w:ascii="Arial" w:hAnsi="Arial" w:cs="Arial"/>
                <w:b/>
                <w:bCs/>
                <w:sz w:val="20"/>
                <w:szCs w:val="20"/>
              </w:rPr>
            </w:pPr>
            <w:r w:rsidRPr="00C550D2">
              <w:rPr>
                <w:rFonts w:ascii="Arial" w:hAnsi="Arial" w:cs="Arial"/>
                <w:b/>
                <w:bCs/>
                <w:sz w:val="20"/>
                <w:szCs w:val="20"/>
              </w:rPr>
              <w:t>Végleges felhívás alapján</w:t>
            </w:r>
          </w:p>
        </w:tc>
      </w:tr>
      <w:tr w:rsidR="00C550D2" w:rsidRPr="00C550D2" w14:paraId="11E396D9" w14:textId="77777777" w:rsidTr="00C550D2">
        <w:trPr>
          <w:tblCellSpacing w:w="15" w:type="dxa"/>
        </w:trPr>
        <w:tc>
          <w:tcPr>
            <w:tcW w:w="0" w:type="auto"/>
            <w:vAlign w:val="center"/>
            <w:hideMark/>
          </w:tcPr>
          <w:p w14:paraId="2EF7825E"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Keretösszeg</w:t>
            </w:r>
          </w:p>
        </w:tc>
        <w:tc>
          <w:tcPr>
            <w:tcW w:w="0" w:type="auto"/>
            <w:vAlign w:val="center"/>
            <w:hideMark/>
          </w:tcPr>
          <w:p w14:paraId="685124F7"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31 milliárd Ft</w:t>
            </w:r>
          </w:p>
        </w:tc>
        <w:tc>
          <w:tcPr>
            <w:tcW w:w="0" w:type="auto"/>
            <w:vAlign w:val="center"/>
            <w:hideMark/>
          </w:tcPr>
          <w:p w14:paraId="0C040940"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25,5 milliárd Ft</w:t>
            </w:r>
          </w:p>
        </w:tc>
      </w:tr>
      <w:tr w:rsidR="00C550D2" w:rsidRPr="00C550D2" w14:paraId="03E0679C" w14:textId="77777777" w:rsidTr="00C550D2">
        <w:trPr>
          <w:tblCellSpacing w:w="15" w:type="dxa"/>
        </w:trPr>
        <w:tc>
          <w:tcPr>
            <w:tcW w:w="0" w:type="auto"/>
            <w:vAlign w:val="center"/>
            <w:hideMark/>
          </w:tcPr>
          <w:p w14:paraId="631EB7F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Területi keret</w:t>
            </w:r>
          </w:p>
        </w:tc>
        <w:tc>
          <w:tcPr>
            <w:tcW w:w="0" w:type="auto"/>
            <w:vAlign w:val="center"/>
            <w:hideMark/>
          </w:tcPr>
          <w:p w14:paraId="2C840387"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Baranya 11 Mrd Ft; BAZ és Heves együtt 20 Mrd Ft</w:t>
            </w:r>
          </w:p>
        </w:tc>
        <w:tc>
          <w:tcPr>
            <w:tcW w:w="0" w:type="auto"/>
            <w:vAlign w:val="center"/>
            <w:hideMark/>
          </w:tcPr>
          <w:p w14:paraId="5F881D7F"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Mindhárom vármegye külön 8,5 Mrd Ft</w:t>
            </w:r>
          </w:p>
        </w:tc>
      </w:tr>
      <w:tr w:rsidR="00C550D2" w:rsidRPr="00C550D2" w14:paraId="37905F32" w14:textId="77777777" w:rsidTr="00C550D2">
        <w:trPr>
          <w:tblCellSpacing w:w="15" w:type="dxa"/>
        </w:trPr>
        <w:tc>
          <w:tcPr>
            <w:tcW w:w="0" w:type="auto"/>
            <w:vAlign w:val="center"/>
            <w:hideMark/>
          </w:tcPr>
          <w:p w14:paraId="52F37050"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Benyújtás kezdete</w:t>
            </w:r>
          </w:p>
        </w:tc>
        <w:tc>
          <w:tcPr>
            <w:tcW w:w="0" w:type="auto"/>
            <w:vAlign w:val="center"/>
            <w:hideMark/>
          </w:tcPr>
          <w:p w14:paraId="6028801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2027. január 1.</w:t>
            </w:r>
          </w:p>
        </w:tc>
        <w:tc>
          <w:tcPr>
            <w:tcW w:w="0" w:type="auto"/>
            <w:vAlign w:val="center"/>
            <w:hideMark/>
          </w:tcPr>
          <w:p w14:paraId="0CC6895D"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2027. február 1.</w:t>
            </w:r>
          </w:p>
        </w:tc>
      </w:tr>
      <w:tr w:rsidR="00C550D2" w:rsidRPr="00C550D2" w14:paraId="670696BF" w14:textId="77777777" w:rsidTr="00C550D2">
        <w:trPr>
          <w:tblCellSpacing w:w="15" w:type="dxa"/>
        </w:trPr>
        <w:tc>
          <w:tcPr>
            <w:tcW w:w="0" w:type="auto"/>
            <w:vAlign w:val="center"/>
            <w:hideMark/>
          </w:tcPr>
          <w:p w14:paraId="38A0D3A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Finanszírozási korlát</w:t>
            </w:r>
          </w:p>
        </w:tc>
        <w:tc>
          <w:tcPr>
            <w:tcW w:w="0" w:type="auto"/>
            <w:vAlign w:val="center"/>
            <w:hideMark/>
          </w:tcPr>
          <w:p w14:paraId="0CE4D3B6"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5–500 millió Ft</w:t>
            </w:r>
          </w:p>
        </w:tc>
        <w:tc>
          <w:tcPr>
            <w:tcW w:w="0" w:type="auto"/>
            <w:vAlign w:val="center"/>
            <w:hideMark/>
          </w:tcPr>
          <w:p w14:paraId="419AB460"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5–500 millió Ft, továbbá az üzemi eredmény legfeljebb 15-szöröse</w:t>
            </w:r>
          </w:p>
        </w:tc>
      </w:tr>
      <w:tr w:rsidR="00C550D2" w:rsidRPr="00C550D2" w14:paraId="10375808" w14:textId="77777777" w:rsidTr="00C550D2">
        <w:trPr>
          <w:tblCellSpacing w:w="15" w:type="dxa"/>
        </w:trPr>
        <w:tc>
          <w:tcPr>
            <w:tcW w:w="0" w:type="auto"/>
            <w:vAlign w:val="center"/>
            <w:hideMark/>
          </w:tcPr>
          <w:p w14:paraId="02D20F5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ÜHG-csökkentés</w:t>
            </w:r>
          </w:p>
        </w:tc>
        <w:tc>
          <w:tcPr>
            <w:tcW w:w="0" w:type="auto"/>
            <w:vAlign w:val="center"/>
            <w:hideMark/>
          </w:tcPr>
          <w:p w14:paraId="4FA3D419"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Legalább 30%</w:t>
            </w:r>
          </w:p>
        </w:tc>
        <w:tc>
          <w:tcPr>
            <w:tcW w:w="0" w:type="auto"/>
            <w:vAlign w:val="center"/>
            <w:hideMark/>
          </w:tcPr>
          <w:p w14:paraId="5B0CAC3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Igazolt csökkenés, általános 30%-os küszöb nélkül</w:t>
            </w:r>
          </w:p>
        </w:tc>
      </w:tr>
      <w:tr w:rsidR="00C550D2" w:rsidRPr="00C550D2" w14:paraId="240E22B0" w14:textId="77777777" w:rsidTr="00C550D2">
        <w:trPr>
          <w:tblCellSpacing w:w="15" w:type="dxa"/>
        </w:trPr>
        <w:tc>
          <w:tcPr>
            <w:tcW w:w="0" w:type="auto"/>
            <w:vAlign w:val="center"/>
            <w:hideMark/>
          </w:tcPr>
          <w:p w14:paraId="3638D82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Diverzifikációs építési költségkorlát</w:t>
            </w:r>
          </w:p>
        </w:tc>
        <w:tc>
          <w:tcPr>
            <w:tcW w:w="0" w:type="auto"/>
            <w:vAlign w:val="center"/>
            <w:hideMark/>
          </w:tcPr>
          <w:p w14:paraId="3DC99202"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70% szerepelt az összefoglalóban</w:t>
            </w:r>
          </w:p>
        </w:tc>
        <w:tc>
          <w:tcPr>
            <w:tcW w:w="0" w:type="auto"/>
            <w:vAlign w:val="center"/>
            <w:hideMark/>
          </w:tcPr>
          <w:p w14:paraId="78F32CE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40%</w:t>
            </w:r>
          </w:p>
        </w:tc>
      </w:tr>
      <w:tr w:rsidR="00C550D2" w:rsidRPr="00C550D2" w14:paraId="6971E907" w14:textId="77777777" w:rsidTr="00C550D2">
        <w:trPr>
          <w:tblCellSpacing w:w="15" w:type="dxa"/>
        </w:trPr>
        <w:tc>
          <w:tcPr>
            <w:tcW w:w="0" w:type="auto"/>
            <w:vAlign w:val="center"/>
            <w:hideMark/>
          </w:tcPr>
          <w:p w14:paraId="4D557727"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Energiahatékonysági eredmény elmaradása</w:t>
            </w:r>
          </w:p>
        </w:tc>
        <w:tc>
          <w:tcPr>
            <w:tcW w:w="0" w:type="auto"/>
            <w:vAlign w:val="center"/>
            <w:hideMark/>
          </w:tcPr>
          <w:p w14:paraId="62C8FC5E"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Nem szerepelt kellő hangsúllyal a jogkövetkezmény</w:t>
            </w:r>
          </w:p>
        </w:tc>
        <w:tc>
          <w:tcPr>
            <w:tcW w:w="0" w:type="auto"/>
            <w:vAlign w:val="center"/>
            <w:hideMark/>
          </w:tcPr>
          <w:p w14:paraId="53867CE3"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teljes folyósított finanszírozás visszakövetelésével járhat</w:t>
            </w:r>
          </w:p>
        </w:tc>
      </w:tr>
      <w:tr w:rsidR="00C550D2" w:rsidRPr="00C550D2" w14:paraId="5BABAD1A" w14:textId="77777777" w:rsidTr="00C550D2">
        <w:trPr>
          <w:tblCellSpacing w:w="15" w:type="dxa"/>
        </w:trPr>
        <w:tc>
          <w:tcPr>
            <w:tcW w:w="0" w:type="auto"/>
            <w:vAlign w:val="center"/>
            <w:hideMark/>
          </w:tcPr>
          <w:p w14:paraId="5205A63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Indikátorok</w:t>
            </w:r>
          </w:p>
        </w:tc>
        <w:tc>
          <w:tcPr>
            <w:tcW w:w="0" w:type="auto"/>
            <w:vAlign w:val="center"/>
            <w:hideMark/>
          </w:tcPr>
          <w:p w14:paraId="3DC611F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Projektszintű mérési kötelezettségként szerepeltek</w:t>
            </w:r>
          </w:p>
        </w:tc>
        <w:tc>
          <w:tcPr>
            <w:tcW w:w="0" w:type="auto"/>
            <w:vAlign w:val="center"/>
            <w:hideMark/>
          </w:tcPr>
          <w:p w14:paraId="72AC6BAC"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Nem kell külön projektszintű célértéket meghatározni</w:t>
            </w:r>
          </w:p>
        </w:tc>
      </w:tr>
      <w:tr w:rsidR="00C550D2" w:rsidRPr="00C550D2" w14:paraId="2BEC4D53" w14:textId="77777777" w:rsidTr="00C550D2">
        <w:trPr>
          <w:tblCellSpacing w:w="15" w:type="dxa"/>
        </w:trPr>
        <w:tc>
          <w:tcPr>
            <w:tcW w:w="0" w:type="auto"/>
            <w:vAlign w:val="center"/>
            <w:hideMark/>
          </w:tcPr>
          <w:p w14:paraId="641CB5F4"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Több helyszín</w:t>
            </w:r>
          </w:p>
        </w:tc>
        <w:tc>
          <w:tcPr>
            <w:tcW w:w="0" w:type="auto"/>
            <w:vAlign w:val="center"/>
            <w:hideMark/>
          </w:tcPr>
          <w:p w14:paraId="3C7D46F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Nem szerepelt külön korlátozás</w:t>
            </w:r>
          </w:p>
        </w:tc>
        <w:tc>
          <w:tcPr>
            <w:tcW w:w="0" w:type="auto"/>
            <w:vAlign w:val="center"/>
            <w:hideMark/>
          </w:tcPr>
          <w:p w14:paraId="2D18CFE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Egy kérelemben csak azonos vármegyében lévő helyszínek szerepelhetnek</w:t>
            </w:r>
          </w:p>
        </w:tc>
      </w:tr>
      <w:tr w:rsidR="00C550D2" w:rsidRPr="00C550D2" w14:paraId="5506AFF1" w14:textId="77777777" w:rsidTr="00C550D2">
        <w:trPr>
          <w:tblCellSpacing w:w="15" w:type="dxa"/>
        </w:trPr>
        <w:tc>
          <w:tcPr>
            <w:tcW w:w="0" w:type="auto"/>
            <w:vAlign w:val="center"/>
            <w:hideMark/>
          </w:tcPr>
          <w:p w14:paraId="235F276B"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 xml:space="preserve">Két </w:t>
            </w:r>
            <w:proofErr w:type="spellStart"/>
            <w:r w:rsidRPr="00C550D2">
              <w:rPr>
                <w:rFonts w:ascii="Arial" w:hAnsi="Arial" w:cs="Arial"/>
                <w:sz w:val="20"/>
                <w:szCs w:val="20"/>
              </w:rPr>
              <w:t>alcél</w:t>
            </w:r>
            <w:proofErr w:type="spellEnd"/>
            <w:r w:rsidRPr="00C550D2">
              <w:rPr>
                <w:rFonts w:ascii="Arial" w:hAnsi="Arial" w:cs="Arial"/>
                <w:sz w:val="20"/>
                <w:szCs w:val="20"/>
              </w:rPr>
              <w:t xml:space="preserve"> egyidejű igénylése</w:t>
            </w:r>
          </w:p>
        </w:tc>
        <w:tc>
          <w:tcPr>
            <w:tcW w:w="0" w:type="auto"/>
            <w:vAlign w:val="center"/>
            <w:hideMark/>
          </w:tcPr>
          <w:p w14:paraId="14780B8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Nem volt részletezve</w:t>
            </w:r>
          </w:p>
        </w:tc>
        <w:tc>
          <w:tcPr>
            <w:tcW w:w="0" w:type="auto"/>
            <w:vAlign w:val="center"/>
            <w:hideMark/>
          </w:tcPr>
          <w:p w14:paraId="5C5F748A"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Külön kérelmek és külön kölcsönszerződések szükségesek</w:t>
            </w:r>
          </w:p>
        </w:tc>
      </w:tr>
      <w:tr w:rsidR="00C550D2" w:rsidRPr="00C550D2" w14:paraId="6CEA3A47" w14:textId="77777777" w:rsidTr="00C550D2">
        <w:trPr>
          <w:tblCellSpacing w:w="15" w:type="dxa"/>
        </w:trPr>
        <w:tc>
          <w:tcPr>
            <w:tcW w:w="0" w:type="auto"/>
            <w:vAlign w:val="center"/>
            <w:hideMark/>
          </w:tcPr>
          <w:p w14:paraId="7C989A45"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Madár- és denevérvédelem</w:t>
            </w:r>
          </w:p>
        </w:tc>
        <w:tc>
          <w:tcPr>
            <w:tcW w:w="0" w:type="auto"/>
            <w:vAlign w:val="center"/>
            <w:hideMark/>
          </w:tcPr>
          <w:p w14:paraId="05635496"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Általános előzetes felmérés</w:t>
            </w:r>
          </w:p>
        </w:tc>
        <w:tc>
          <w:tcPr>
            <w:tcW w:w="0" w:type="auto"/>
            <w:vAlign w:val="center"/>
            <w:hideMark/>
          </w:tcPr>
          <w:p w14:paraId="4EB0BA5C" w14:textId="77777777" w:rsidR="00C550D2" w:rsidRPr="00C550D2" w:rsidRDefault="00C550D2" w:rsidP="00C550D2">
            <w:pPr>
              <w:jc w:val="both"/>
              <w:rPr>
                <w:rFonts w:ascii="Arial" w:hAnsi="Arial" w:cs="Arial"/>
                <w:sz w:val="20"/>
                <w:szCs w:val="20"/>
              </w:rPr>
            </w:pPr>
            <w:r w:rsidRPr="00C550D2">
              <w:rPr>
                <w:rFonts w:ascii="Arial" w:hAnsi="Arial" w:cs="Arial"/>
                <w:sz w:val="20"/>
                <w:szCs w:val="20"/>
              </w:rPr>
              <w:t>A szakértő bevonása a 100 millió Ft-os támogatástartalom-határhoz igazodik</w:t>
            </w:r>
          </w:p>
        </w:tc>
      </w:tr>
    </w:tbl>
    <w:p w14:paraId="1DD35E69" w14:textId="7C30940A" w:rsidR="005F3016" w:rsidRPr="00E37571" w:rsidRDefault="005F3016" w:rsidP="00C550D2">
      <w:pPr>
        <w:jc w:val="both"/>
      </w:pPr>
    </w:p>
    <w:sectPr w:rsidR="005F3016" w:rsidRPr="00E37571" w:rsidSect="00CF0541">
      <w:headerReference w:type="default" r:id="rId8"/>
      <w:footerReference w:type="default" r:id="rId9"/>
      <w:pgSz w:w="11906" w:h="16838"/>
      <w:pgMar w:top="155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D0A5B" w14:textId="77777777" w:rsidR="00D02A69" w:rsidRDefault="00D02A69" w:rsidP="00310FAC">
      <w:pPr>
        <w:spacing w:after="0" w:line="240" w:lineRule="auto"/>
      </w:pPr>
      <w:r>
        <w:separator/>
      </w:r>
    </w:p>
  </w:endnote>
  <w:endnote w:type="continuationSeparator" w:id="0">
    <w:p w14:paraId="2CE3334F" w14:textId="77777777" w:rsidR="00D02A69" w:rsidRDefault="00D02A69" w:rsidP="00310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CF27" w14:textId="77777777" w:rsidR="003C33D0" w:rsidRPr="005373CC" w:rsidRDefault="003C33D0" w:rsidP="003C33D0">
    <w:pPr>
      <w:pBdr>
        <w:bottom w:val="single" w:sz="4" w:space="1" w:color="auto"/>
      </w:pBdr>
      <w:tabs>
        <w:tab w:val="left" w:pos="1985"/>
        <w:tab w:val="right" w:pos="7088"/>
      </w:tabs>
      <w:spacing w:before="100" w:beforeAutospacing="1" w:after="0" w:line="240" w:lineRule="auto"/>
      <w:rPr>
        <w:rFonts w:ascii="Roboto" w:hAnsi="Roboto"/>
        <w:sz w:val="10"/>
        <w:szCs w:val="10"/>
      </w:rPr>
    </w:pPr>
  </w:p>
  <w:p w14:paraId="1D32C4DD" w14:textId="1752FCE2" w:rsidR="003C33D0" w:rsidRDefault="003C33D0" w:rsidP="003C33D0">
    <w:pPr>
      <w:tabs>
        <w:tab w:val="left" w:pos="1843"/>
        <w:tab w:val="right" w:pos="7230"/>
      </w:tabs>
      <w:spacing w:before="200" w:after="0"/>
      <w:rPr>
        <w:rFonts w:ascii="Roboto" w:hAnsi="Roboto"/>
        <w:sz w:val="18"/>
        <w:szCs w:val="18"/>
      </w:rPr>
    </w:pPr>
    <w:r>
      <w:rPr>
        <w:rFonts w:ascii="Roboto" w:hAnsi="Roboto"/>
        <w:sz w:val="24"/>
        <w:szCs w:val="24"/>
      </w:rPr>
      <w:tab/>
    </w:r>
    <w:r>
      <w:rPr>
        <w:rFonts w:ascii="Roboto" w:hAnsi="Roboto"/>
        <w:sz w:val="24"/>
        <w:szCs w:val="24"/>
      </w:rPr>
      <w:sym w:font="Wingdings" w:char="F02B"/>
    </w:r>
    <w:r w:rsidRPr="007C3FD0">
      <w:rPr>
        <w:rFonts w:ascii="Roboto" w:hAnsi="Roboto"/>
        <w:sz w:val="24"/>
        <w:szCs w:val="24"/>
      </w:rPr>
      <w:t xml:space="preserve"> </w:t>
    </w:r>
    <w:r>
      <w:rPr>
        <w:rFonts w:ascii="Roboto" w:hAnsi="Roboto"/>
        <w:sz w:val="18"/>
        <w:szCs w:val="18"/>
      </w:rPr>
      <w:t>7621 Pécs, Megye u. 7/1.</w:t>
    </w:r>
    <w:r>
      <w:rPr>
        <w:rFonts w:ascii="Roboto" w:hAnsi="Roboto"/>
        <w:sz w:val="18"/>
        <w:szCs w:val="18"/>
      </w:rPr>
      <w:tab/>
    </w:r>
    <w:r w:rsidRPr="007C3FD0">
      <w:rPr>
        <w:rFonts w:ascii="Roboto" w:hAnsi="Roboto"/>
        <w:sz w:val="24"/>
        <w:szCs w:val="24"/>
      </w:rPr>
      <w:sym w:font="Wingdings" w:char="F02A"/>
    </w:r>
    <w:r>
      <w:rPr>
        <w:rFonts w:ascii="Roboto" w:hAnsi="Roboto"/>
        <w:sz w:val="24"/>
        <w:szCs w:val="24"/>
      </w:rPr>
      <w:t xml:space="preserve"> </w:t>
    </w:r>
    <w:r>
      <w:rPr>
        <w:rFonts w:ascii="Roboto" w:hAnsi="Roboto"/>
        <w:sz w:val="18"/>
        <w:szCs w:val="18"/>
      </w:rPr>
      <w:t>info@msb.hu</w:t>
    </w:r>
  </w:p>
  <w:p w14:paraId="3FB726E1" w14:textId="77777777" w:rsidR="003C33D0" w:rsidRDefault="003C33D0" w:rsidP="003C33D0">
    <w:pPr>
      <w:pStyle w:val="llb"/>
      <w:tabs>
        <w:tab w:val="clear" w:pos="9072"/>
        <w:tab w:val="left" w:pos="1843"/>
        <w:tab w:val="right" w:pos="7230"/>
      </w:tabs>
      <w:jc w:val="both"/>
    </w:pPr>
    <w:r>
      <w:rPr>
        <w:rFonts w:ascii="Roboto" w:hAnsi="Roboto"/>
        <w:sz w:val="24"/>
        <w:szCs w:val="24"/>
      </w:rPr>
      <w:tab/>
    </w:r>
    <w:r>
      <w:rPr>
        <w:rFonts w:ascii="Roboto" w:hAnsi="Roboto"/>
        <w:sz w:val="24"/>
        <w:szCs w:val="24"/>
      </w:rPr>
      <w:sym w:font="Wingdings 2" w:char="F027"/>
    </w:r>
    <w:r w:rsidRPr="007C3FD0">
      <w:rPr>
        <w:rFonts w:ascii="Roboto" w:hAnsi="Roboto"/>
        <w:sz w:val="18"/>
        <w:szCs w:val="18"/>
      </w:rPr>
      <w:t xml:space="preserve"> </w:t>
    </w:r>
    <w:r>
      <w:rPr>
        <w:rFonts w:ascii="Roboto" w:hAnsi="Roboto"/>
        <w:sz w:val="18"/>
        <w:szCs w:val="18"/>
      </w:rPr>
      <w:t>+36 72 520 513</w:t>
    </w:r>
    <w:r>
      <w:rPr>
        <w:rFonts w:ascii="Roboto" w:hAnsi="Roboto"/>
        <w:sz w:val="18"/>
        <w:szCs w:val="18"/>
      </w:rPr>
      <w:tab/>
    </w:r>
    <w:r>
      <w:rPr>
        <w:rFonts w:ascii="Roboto" w:hAnsi="Roboto"/>
        <w:sz w:val="18"/>
        <w:szCs w:val="18"/>
      </w:rPr>
      <w:tab/>
    </w:r>
    <w:r w:rsidRPr="007C3FD0">
      <w:rPr>
        <w:rFonts w:ascii="Roboto" w:hAnsi="Roboto"/>
        <w:sz w:val="28"/>
        <w:szCs w:val="28"/>
      </w:rPr>
      <w:sym w:font="Wingdings" w:char="F03A"/>
    </w:r>
    <w:r w:rsidRPr="007C3FD0">
      <w:rPr>
        <w:rFonts w:ascii="Roboto" w:hAnsi="Roboto"/>
        <w:sz w:val="28"/>
        <w:szCs w:val="28"/>
      </w:rPr>
      <w:t xml:space="preserve"> </w:t>
    </w:r>
    <w:r>
      <w:rPr>
        <w:rFonts w:ascii="Roboto" w:hAnsi="Roboto"/>
        <w:sz w:val="18"/>
        <w:szCs w:val="18"/>
      </w:rPr>
      <w:t>www.msb.hu</w:t>
    </w:r>
  </w:p>
  <w:p w14:paraId="6C3E47C2" w14:textId="0AE5AAD8" w:rsidR="00D75F9C" w:rsidRDefault="00D75F9C" w:rsidP="00D75F9C">
    <w:pPr>
      <w:pStyle w:val="llb"/>
      <w:tabs>
        <w:tab w:val="clear" w:pos="4536"/>
        <w:tab w:val="clear" w:pos="9072"/>
        <w:tab w:val="left" w:pos="57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47740" w14:textId="77777777" w:rsidR="00D02A69" w:rsidRDefault="00D02A69" w:rsidP="00310FAC">
      <w:pPr>
        <w:spacing w:after="0" w:line="240" w:lineRule="auto"/>
      </w:pPr>
      <w:r>
        <w:separator/>
      </w:r>
    </w:p>
  </w:footnote>
  <w:footnote w:type="continuationSeparator" w:id="0">
    <w:p w14:paraId="69D62DDD" w14:textId="77777777" w:rsidR="00D02A69" w:rsidRDefault="00D02A69" w:rsidP="00310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F6C8" w14:textId="32C2DC47" w:rsidR="00310FAC" w:rsidRDefault="00D75F9C" w:rsidP="00310FAC">
    <w:pPr>
      <w:pStyle w:val="lfej"/>
      <w:ind w:hanging="1417"/>
    </w:pPr>
    <w:r>
      <w:rPr>
        <w:noProof/>
        <w:lang w:eastAsia="hu-HU"/>
      </w:rPr>
      <w:drawing>
        <wp:anchor distT="0" distB="0" distL="114300" distR="114300" simplePos="0" relativeHeight="251659264" behindDoc="0" locked="0" layoutInCell="1" allowOverlap="1" wp14:anchorId="21F273E4" wp14:editId="78895745">
          <wp:simplePos x="0" y="0"/>
          <wp:positionH relativeFrom="page">
            <wp:posOffset>869382</wp:posOffset>
          </wp:positionH>
          <wp:positionV relativeFrom="page">
            <wp:posOffset>150495</wp:posOffset>
          </wp:positionV>
          <wp:extent cx="3114675" cy="712470"/>
          <wp:effectExtent l="0" t="0" r="0" b="0"/>
          <wp:wrapNone/>
          <wp:docPr id="1201268594" name="Kép 120126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ejléc.jpg"/>
                  <pic:cNvPicPr/>
                </pic:nvPicPr>
                <pic:blipFill rotWithShape="1">
                  <a:blip r:embed="rId1" cstate="print">
                    <a:extLst>
                      <a:ext uri="{28A0092B-C50C-407E-A947-70E740481C1C}">
                        <a14:useLocalDpi xmlns:a14="http://schemas.microsoft.com/office/drawing/2010/main" val="0"/>
                      </a:ext>
                    </a:extLst>
                  </a:blip>
                  <a:srcRect l="-1" r="-2194"/>
                  <a:stretch/>
                </pic:blipFill>
                <pic:spPr bwMode="auto">
                  <a:xfrm>
                    <a:off x="0" y="0"/>
                    <a:ext cx="3114675" cy="712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34123A" w14:textId="77777777" w:rsidR="00310FAC" w:rsidRDefault="00310FA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763"/>
    <w:multiLevelType w:val="multilevel"/>
    <w:tmpl w:val="AD9A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14289"/>
    <w:multiLevelType w:val="hybridMultilevel"/>
    <w:tmpl w:val="A8425822"/>
    <w:lvl w:ilvl="0" w:tplc="040E0001">
      <w:start w:val="1"/>
      <w:numFmt w:val="bullet"/>
      <w:lvlText w:val=""/>
      <w:lvlJc w:val="left"/>
      <w:pPr>
        <w:ind w:left="1854" w:hanging="360"/>
      </w:pPr>
      <w:rPr>
        <w:rFonts w:ascii="Symbol" w:hAnsi="Symbol" w:hint="default"/>
      </w:rPr>
    </w:lvl>
    <w:lvl w:ilvl="1" w:tplc="040E0003" w:tentative="1">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2" w15:restartNumberingAfterBreak="0">
    <w:nsid w:val="0B584F15"/>
    <w:multiLevelType w:val="multilevel"/>
    <w:tmpl w:val="1DA0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F50FF"/>
    <w:multiLevelType w:val="multilevel"/>
    <w:tmpl w:val="0838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77785"/>
    <w:multiLevelType w:val="hybridMultilevel"/>
    <w:tmpl w:val="849271AA"/>
    <w:lvl w:ilvl="0" w:tplc="040E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814E7D"/>
    <w:multiLevelType w:val="multilevel"/>
    <w:tmpl w:val="A8123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B50F2"/>
    <w:multiLevelType w:val="multilevel"/>
    <w:tmpl w:val="3CB0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16C65"/>
    <w:multiLevelType w:val="multilevel"/>
    <w:tmpl w:val="3C4E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C48EF"/>
    <w:multiLevelType w:val="multilevel"/>
    <w:tmpl w:val="9A1A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436EC8"/>
    <w:multiLevelType w:val="multilevel"/>
    <w:tmpl w:val="79A0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27D59"/>
    <w:multiLevelType w:val="multilevel"/>
    <w:tmpl w:val="42D65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096602"/>
    <w:multiLevelType w:val="multilevel"/>
    <w:tmpl w:val="4FF0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C66CBF"/>
    <w:multiLevelType w:val="hybridMultilevel"/>
    <w:tmpl w:val="4D4E370C"/>
    <w:lvl w:ilvl="0" w:tplc="4E883882">
      <w:numFmt w:val="bullet"/>
      <w:lvlText w:val="-"/>
      <w:lvlJc w:val="left"/>
      <w:pPr>
        <w:ind w:left="818" w:hanging="281"/>
      </w:pPr>
      <w:rPr>
        <w:rFonts w:ascii="Arial MT" w:eastAsia="Arial MT" w:hAnsi="Arial MT" w:cs="Arial MT" w:hint="default"/>
        <w:b w:val="0"/>
        <w:bCs w:val="0"/>
        <w:i w:val="0"/>
        <w:iCs w:val="0"/>
        <w:spacing w:val="0"/>
        <w:w w:val="99"/>
        <w:sz w:val="20"/>
        <w:szCs w:val="20"/>
        <w:lang w:val="hu-HU" w:eastAsia="en-US" w:bidi="ar-SA"/>
      </w:rPr>
    </w:lvl>
    <w:lvl w:ilvl="1" w:tplc="27CE6FAA">
      <w:numFmt w:val="bullet"/>
      <w:lvlText w:val="•"/>
      <w:lvlJc w:val="left"/>
      <w:pPr>
        <w:ind w:left="1402" w:hanging="281"/>
      </w:pPr>
      <w:rPr>
        <w:rFonts w:hint="default"/>
        <w:lang w:val="hu-HU" w:eastAsia="en-US" w:bidi="ar-SA"/>
      </w:rPr>
    </w:lvl>
    <w:lvl w:ilvl="2" w:tplc="6714007E">
      <w:numFmt w:val="bullet"/>
      <w:lvlText w:val="•"/>
      <w:lvlJc w:val="left"/>
      <w:pPr>
        <w:ind w:left="1985" w:hanging="281"/>
      </w:pPr>
      <w:rPr>
        <w:rFonts w:hint="default"/>
        <w:lang w:val="hu-HU" w:eastAsia="en-US" w:bidi="ar-SA"/>
      </w:rPr>
    </w:lvl>
    <w:lvl w:ilvl="3" w:tplc="18748634">
      <w:numFmt w:val="bullet"/>
      <w:lvlText w:val="•"/>
      <w:lvlJc w:val="left"/>
      <w:pPr>
        <w:ind w:left="2568" w:hanging="281"/>
      </w:pPr>
      <w:rPr>
        <w:rFonts w:hint="default"/>
        <w:lang w:val="hu-HU" w:eastAsia="en-US" w:bidi="ar-SA"/>
      </w:rPr>
    </w:lvl>
    <w:lvl w:ilvl="4" w:tplc="FF8EB2FA">
      <w:numFmt w:val="bullet"/>
      <w:lvlText w:val="•"/>
      <w:lvlJc w:val="left"/>
      <w:pPr>
        <w:ind w:left="3151" w:hanging="281"/>
      </w:pPr>
      <w:rPr>
        <w:rFonts w:hint="default"/>
        <w:lang w:val="hu-HU" w:eastAsia="en-US" w:bidi="ar-SA"/>
      </w:rPr>
    </w:lvl>
    <w:lvl w:ilvl="5" w:tplc="D37CD5C6">
      <w:numFmt w:val="bullet"/>
      <w:lvlText w:val="•"/>
      <w:lvlJc w:val="left"/>
      <w:pPr>
        <w:ind w:left="3734" w:hanging="281"/>
      </w:pPr>
      <w:rPr>
        <w:rFonts w:hint="default"/>
        <w:lang w:val="hu-HU" w:eastAsia="en-US" w:bidi="ar-SA"/>
      </w:rPr>
    </w:lvl>
    <w:lvl w:ilvl="6" w:tplc="AAC604D4">
      <w:numFmt w:val="bullet"/>
      <w:lvlText w:val="•"/>
      <w:lvlJc w:val="left"/>
      <w:pPr>
        <w:ind w:left="4317" w:hanging="281"/>
      </w:pPr>
      <w:rPr>
        <w:rFonts w:hint="default"/>
        <w:lang w:val="hu-HU" w:eastAsia="en-US" w:bidi="ar-SA"/>
      </w:rPr>
    </w:lvl>
    <w:lvl w:ilvl="7" w:tplc="B784E49E">
      <w:numFmt w:val="bullet"/>
      <w:lvlText w:val="•"/>
      <w:lvlJc w:val="left"/>
      <w:pPr>
        <w:ind w:left="4900" w:hanging="281"/>
      </w:pPr>
      <w:rPr>
        <w:rFonts w:hint="default"/>
        <w:lang w:val="hu-HU" w:eastAsia="en-US" w:bidi="ar-SA"/>
      </w:rPr>
    </w:lvl>
    <w:lvl w:ilvl="8" w:tplc="2C122412">
      <w:numFmt w:val="bullet"/>
      <w:lvlText w:val="•"/>
      <w:lvlJc w:val="left"/>
      <w:pPr>
        <w:ind w:left="5483" w:hanging="281"/>
      </w:pPr>
      <w:rPr>
        <w:rFonts w:hint="default"/>
        <w:lang w:val="hu-HU" w:eastAsia="en-US" w:bidi="ar-SA"/>
      </w:rPr>
    </w:lvl>
  </w:abstractNum>
  <w:abstractNum w:abstractNumId="13" w15:restartNumberingAfterBreak="0">
    <w:nsid w:val="46B55D31"/>
    <w:multiLevelType w:val="multilevel"/>
    <w:tmpl w:val="E8DC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483584"/>
    <w:multiLevelType w:val="multilevel"/>
    <w:tmpl w:val="AF56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A15844"/>
    <w:multiLevelType w:val="multilevel"/>
    <w:tmpl w:val="F46A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DE5831"/>
    <w:multiLevelType w:val="hybridMultilevel"/>
    <w:tmpl w:val="405ED77A"/>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F02824"/>
    <w:multiLevelType w:val="multilevel"/>
    <w:tmpl w:val="3598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EC25C9"/>
    <w:multiLevelType w:val="multilevel"/>
    <w:tmpl w:val="B61A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DF3D5C"/>
    <w:multiLevelType w:val="multilevel"/>
    <w:tmpl w:val="65B6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50230A"/>
    <w:multiLevelType w:val="multilevel"/>
    <w:tmpl w:val="D83E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6D76ED"/>
    <w:multiLevelType w:val="multilevel"/>
    <w:tmpl w:val="52CC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DD5425"/>
    <w:multiLevelType w:val="hybridMultilevel"/>
    <w:tmpl w:val="FA984EE4"/>
    <w:lvl w:ilvl="0" w:tplc="D12AC44A">
      <w:start w:val="1"/>
      <w:numFmt w:val="decimal"/>
      <w:lvlText w:val="%1."/>
      <w:lvlJc w:val="left"/>
      <w:pPr>
        <w:ind w:left="1065" w:hanging="705"/>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2995413"/>
    <w:multiLevelType w:val="multilevel"/>
    <w:tmpl w:val="36F4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62275B"/>
    <w:multiLevelType w:val="hybridMultilevel"/>
    <w:tmpl w:val="1452FFF8"/>
    <w:lvl w:ilvl="0" w:tplc="946A41A6">
      <w:start w:val="1"/>
      <w:numFmt w:val="decimal"/>
      <w:lvlText w:val="%1."/>
      <w:lvlJc w:val="left"/>
      <w:pPr>
        <w:ind w:left="360" w:hanging="360"/>
      </w:pPr>
      <w:rPr>
        <w:rFonts w:hint="default"/>
        <w:b w:val="0"/>
        <w:bCs w:val="0"/>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5" w15:restartNumberingAfterBreak="0">
    <w:nsid w:val="71797B7F"/>
    <w:multiLevelType w:val="multilevel"/>
    <w:tmpl w:val="FB90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27445D"/>
    <w:multiLevelType w:val="multilevel"/>
    <w:tmpl w:val="B56A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D82BD7"/>
    <w:multiLevelType w:val="multilevel"/>
    <w:tmpl w:val="0316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CD6F65"/>
    <w:multiLevelType w:val="hybridMultilevel"/>
    <w:tmpl w:val="89261870"/>
    <w:lvl w:ilvl="0" w:tplc="009CD82E">
      <w:numFmt w:val="bullet"/>
      <w:lvlText w:val="-"/>
      <w:lvlJc w:val="left"/>
      <w:pPr>
        <w:ind w:left="818" w:hanging="281"/>
      </w:pPr>
      <w:rPr>
        <w:rFonts w:ascii="Arial MT" w:eastAsia="Arial MT" w:hAnsi="Arial MT" w:cs="Arial MT" w:hint="default"/>
        <w:b w:val="0"/>
        <w:bCs w:val="0"/>
        <w:i w:val="0"/>
        <w:iCs w:val="0"/>
        <w:spacing w:val="0"/>
        <w:w w:val="99"/>
        <w:sz w:val="20"/>
        <w:szCs w:val="20"/>
        <w:lang w:val="hu-HU" w:eastAsia="en-US" w:bidi="ar-SA"/>
      </w:rPr>
    </w:lvl>
    <w:lvl w:ilvl="1" w:tplc="F95A9CA8">
      <w:numFmt w:val="bullet"/>
      <w:lvlText w:val="•"/>
      <w:lvlJc w:val="left"/>
      <w:pPr>
        <w:ind w:left="1402" w:hanging="281"/>
      </w:pPr>
      <w:rPr>
        <w:rFonts w:hint="default"/>
        <w:lang w:val="hu-HU" w:eastAsia="en-US" w:bidi="ar-SA"/>
      </w:rPr>
    </w:lvl>
    <w:lvl w:ilvl="2" w:tplc="6D3C1E16">
      <w:numFmt w:val="bullet"/>
      <w:lvlText w:val="•"/>
      <w:lvlJc w:val="left"/>
      <w:pPr>
        <w:ind w:left="1985" w:hanging="281"/>
      </w:pPr>
      <w:rPr>
        <w:rFonts w:hint="default"/>
        <w:lang w:val="hu-HU" w:eastAsia="en-US" w:bidi="ar-SA"/>
      </w:rPr>
    </w:lvl>
    <w:lvl w:ilvl="3" w:tplc="9BB61A7E">
      <w:numFmt w:val="bullet"/>
      <w:lvlText w:val="•"/>
      <w:lvlJc w:val="left"/>
      <w:pPr>
        <w:ind w:left="2568" w:hanging="281"/>
      </w:pPr>
      <w:rPr>
        <w:rFonts w:hint="default"/>
        <w:lang w:val="hu-HU" w:eastAsia="en-US" w:bidi="ar-SA"/>
      </w:rPr>
    </w:lvl>
    <w:lvl w:ilvl="4" w:tplc="AABEC382">
      <w:numFmt w:val="bullet"/>
      <w:lvlText w:val="•"/>
      <w:lvlJc w:val="left"/>
      <w:pPr>
        <w:ind w:left="3151" w:hanging="281"/>
      </w:pPr>
      <w:rPr>
        <w:rFonts w:hint="default"/>
        <w:lang w:val="hu-HU" w:eastAsia="en-US" w:bidi="ar-SA"/>
      </w:rPr>
    </w:lvl>
    <w:lvl w:ilvl="5" w:tplc="FB30E5D0">
      <w:numFmt w:val="bullet"/>
      <w:lvlText w:val="•"/>
      <w:lvlJc w:val="left"/>
      <w:pPr>
        <w:ind w:left="3734" w:hanging="281"/>
      </w:pPr>
      <w:rPr>
        <w:rFonts w:hint="default"/>
        <w:lang w:val="hu-HU" w:eastAsia="en-US" w:bidi="ar-SA"/>
      </w:rPr>
    </w:lvl>
    <w:lvl w:ilvl="6" w:tplc="DF184C1A">
      <w:numFmt w:val="bullet"/>
      <w:lvlText w:val="•"/>
      <w:lvlJc w:val="left"/>
      <w:pPr>
        <w:ind w:left="4317" w:hanging="281"/>
      </w:pPr>
      <w:rPr>
        <w:rFonts w:hint="default"/>
        <w:lang w:val="hu-HU" w:eastAsia="en-US" w:bidi="ar-SA"/>
      </w:rPr>
    </w:lvl>
    <w:lvl w:ilvl="7" w:tplc="00703416">
      <w:numFmt w:val="bullet"/>
      <w:lvlText w:val="•"/>
      <w:lvlJc w:val="left"/>
      <w:pPr>
        <w:ind w:left="4900" w:hanging="281"/>
      </w:pPr>
      <w:rPr>
        <w:rFonts w:hint="default"/>
        <w:lang w:val="hu-HU" w:eastAsia="en-US" w:bidi="ar-SA"/>
      </w:rPr>
    </w:lvl>
    <w:lvl w:ilvl="8" w:tplc="830E4D78">
      <w:numFmt w:val="bullet"/>
      <w:lvlText w:val="•"/>
      <w:lvlJc w:val="left"/>
      <w:pPr>
        <w:ind w:left="5483" w:hanging="281"/>
      </w:pPr>
      <w:rPr>
        <w:rFonts w:hint="default"/>
        <w:lang w:val="hu-HU" w:eastAsia="en-US" w:bidi="ar-SA"/>
      </w:rPr>
    </w:lvl>
  </w:abstractNum>
  <w:abstractNum w:abstractNumId="29" w15:restartNumberingAfterBreak="0">
    <w:nsid w:val="7A1D0564"/>
    <w:multiLevelType w:val="multilevel"/>
    <w:tmpl w:val="095C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300C23"/>
    <w:multiLevelType w:val="multilevel"/>
    <w:tmpl w:val="B492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7158BD"/>
    <w:multiLevelType w:val="hybridMultilevel"/>
    <w:tmpl w:val="405ED77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7841A9"/>
    <w:multiLevelType w:val="multilevel"/>
    <w:tmpl w:val="649A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333FD3"/>
    <w:multiLevelType w:val="multilevel"/>
    <w:tmpl w:val="69B4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320775"/>
    <w:multiLevelType w:val="hybridMultilevel"/>
    <w:tmpl w:val="405ED77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B46150"/>
    <w:multiLevelType w:val="multilevel"/>
    <w:tmpl w:val="1AF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1395442">
    <w:abstractNumId w:val="24"/>
  </w:num>
  <w:num w:numId="2" w16cid:durableId="145784281">
    <w:abstractNumId w:val="4"/>
  </w:num>
  <w:num w:numId="3" w16cid:durableId="561986787">
    <w:abstractNumId w:val="16"/>
  </w:num>
  <w:num w:numId="4" w16cid:durableId="363336289">
    <w:abstractNumId w:val="31"/>
  </w:num>
  <w:num w:numId="5" w16cid:durableId="1392460074">
    <w:abstractNumId w:val="34"/>
  </w:num>
  <w:num w:numId="6" w16cid:durableId="437408896">
    <w:abstractNumId w:val="12"/>
  </w:num>
  <w:num w:numId="7" w16cid:durableId="876505157">
    <w:abstractNumId w:val="28"/>
  </w:num>
  <w:num w:numId="8" w16cid:durableId="1010333761">
    <w:abstractNumId w:val="22"/>
  </w:num>
  <w:num w:numId="9" w16cid:durableId="1212036219">
    <w:abstractNumId w:val="1"/>
  </w:num>
  <w:num w:numId="10" w16cid:durableId="1636181296">
    <w:abstractNumId w:val="0"/>
  </w:num>
  <w:num w:numId="11" w16cid:durableId="296492451">
    <w:abstractNumId w:val="13"/>
  </w:num>
  <w:num w:numId="12" w16cid:durableId="1511875715">
    <w:abstractNumId w:val="8"/>
  </w:num>
  <w:num w:numId="13" w16cid:durableId="423919346">
    <w:abstractNumId w:val="14"/>
  </w:num>
  <w:num w:numId="14" w16cid:durableId="1760523398">
    <w:abstractNumId w:val="21"/>
  </w:num>
  <w:num w:numId="15" w16cid:durableId="1259211391">
    <w:abstractNumId w:val="29"/>
  </w:num>
  <w:num w:numId="16" w16cid:durableId="106702005">
    <w:abstractNumId w:val="19"/>
  </w:num>
  <w:num w:numId="17" w16cid:durableId="1679042645">
    <w:abstractNumId w:val="35"/>
  </w:num>
  <w:num w:numId="18" w16cid:durableId="1701665378">
    <w:abstractNumId w:val="33"/>
  </w:num>
  <w:num w:numId="19" w16cid:durableId="1249847994">
    <w:abstractNumId w:val="23"/>
  </w:num>
  <w:num w:numId="20" w16cid:durableId="1941833864">
    <w:abstractNumId w:val="25"/>
  </w:num>
  <w:num w:numId="21" w16cid:durableId="947616188">
    <w:abstractNumId w:val="7"/>
  </w:num>
  <w:num w:numId="22" w16cid:durableId="2017227098">
    <w:abstractNumId w:val="30"/>
  </w:num>
  <w:num w:numId="23" w16cid:durableId="1927492802">
    <w:abstractNumId w:val="18"/>
  </w:num>
  <w:num w:numId="24" w16cid:durableId="567612952">
    <w:abstractNumId w:val="20"/>
  </w:num>
  <w:num w:numId="25" w16cid:durableId="178085063">
    <w:abstractNumId w:val="6"/>
  </w:num>
  <w:num w:numId="26" w16cid:durableId="1003629006">
    <w:abstractNumId w:val="32"/>
  </w:num>
  <w:num w:numId="27" w16cid:durableId="381516862">
    <w:abstractNumId w:val="2"/>
  </w:num>
  <w:num w:numId="28" w16cid:durableId="746922473">
    <w:abstractNumId w:val="9"/>
  </w:num>
  <w:num w:numId="29" w16cid:durableId="1266185233">
    <w:abstractNumId w:val="5"/>
  </w:num>
  <w:num w:numId="30" w16cid:durableId="260916724">
    <w:abstractNumId w:val="11"/>
  </w:num>
  <w:num w:numId="31" w16cid:durableId="628978778">
    <w:abstractNumId w:val="15"/>
  </w:num>
  <w:num w:numId="32" w16cid:durableId="175078944">
    <w:abstractNumId w:val="10"/>
  </w:num>
  <w:num w:numId="33" w16cid:durableId="680854500">
    <w:abstractNumId w:val="27"/>
  </w:num>
  <w:num w:numId="34" w16cid:durableId="2107385558">
    <w:abstractNumId w:val="26"/>
  </w:num>
  <w:num w:numId="35" w16cid:durableId="796487188">
    <w:abstractNumId w:val="3"/>
  </w:num>
  <w:num w:numId="36" w16cid:durableId="280378351">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92E"/>
    <w:rsid w:val="00003C05"/>
    <w:rsid w:val="00037601"/>
    <w:rsid w:val="00056056"/>
    <w:rsid w:val="0006072E"/>
    <w:rsid w:val="000C10C4"/>
    <w:rsid w:val="000C17D3"/>
    <w:rsid w:val="000C2333"/>
    <w:rsid w:val="000D692E"/>
    <w:rsid w:val="0011792D"/>
    <w:rsid w:val="00177462"/>
    <w:rsid w:val="001D5686"/>
    <w:rsid w:val="001E1546"/>
    <w:rsid w:val="001F5C9E"/>
    <w:rsid w:val="00221A89"/>
    <w:rsid w:val="00234BFC"/>
    <w:rsid w:val="00263DB8"/>
    <w:rsid w:val="00280DCC"/>
    <w:rsid w:val="002850C5"/>
    <w:rsid w:val="002852FA"/>
    <w:rsid w:val="00290C6D"/>
    <w:rsid w:val="002E3E05"/>
    <w:rsid w:val="00305B67"/>
    <w:rsid w:val="00310FAC"/>
    <w:rsid w:val="003378B0"/>
    <w:rsid w:val="003400DC"/>
    <w:rsid w:val="0035107A"/>
    <w:rsid w:val="003553D4"/>
    <w:rsid w:val="003A5781"/>
    <w:rsid w:val="003B3FAF"/>
    <w:rsid w:val="003C33D0"/>
    <w:rsid w:val="003C4444"/>
    <w:rsid w:val="004048BE"/>
    <w:rsid w:val="00420A7F"/>
    <w:rsid w:val="004B4BFE"/>
    <w:rsid w:val="00565F96"/>
    <w:rsid w:val="00566ECA"/>
    <w:rsid w:val="00575D21"/>
    <w:rsid w:val="00597755"/>
    <w:rsid w:val="005F3016"/>
    <w:rsid w:val="00683B08"/>
    <w:rsid w:val="00696105"/>
    <w:rsid w:val="006D3ED5"/>
    <w:rsid w:val="006F2B38"/>
    <w:rsid w:val="00712D77"/>
    <w:rsid w:val="00761DEA"/>
    <w:rsid w:val="0077764E"/>
    <w:rsid w:val="00777F96"/>
    <w:rsid w:val="007E1F64"/>
    <w:rsid w:val="00833F0F"/>
    <w:rsid w:val="00836182"/>
    <w:rsid w:val="008366ED"/>
    <w:rsid w:val="00841B5B"/>
    <w:rsid w:val="0086342D"/>
    <w:rsid w:val="00890E3B"/>
    <w:rsid w:val="008C2F40"/>
    <w:rsid w:val="00902B17"/>
    <w:rsid w:val="009148AF"/>
    <w:rsid w:val="0096016E"/>
    <w:rsid w:val="00971961"/>
    <w:rsid w:val="00984F82"/>
    <w:rsid w:val="00985007"/>
    <w:rsid w:val="00AA3591"/>
    <w:rsid w:val="00AA680C"/>
    <w:rsid w:val="00AC60DC"/>
    <w:rsid w:val="00AC7E57"/>
    <w:rsid w:val="00AD2C14"/>
    <w:rsid w:val="00AE26C6"/>
    <w:rsid w:val="00AE3DD6"/>
    <w:rsid w:val="00AF0B89"/>
    <w:rsid w:val="00B33F4B"/>
    <w:rsid w:val="00BC0436"/>
    <w:rsid w:val="00BC6EC7"/>
    <w:rsid w:val="00BE4A10"/>
    <w:rsid w:val="00C05BC2"/>
    <w:rsid w:val="00C3103F"/>
    <w:rsid w:val="00C50972"/>
    <w:rsid w:val="00C550D2"/>
    <w:rsid w:val="00CA62D7"/>
    <w:rsid w:val="00CC01AD"/>
    <w:rsid w:val="00CF0541"/>
    <w:rsid w:val="00D02A69"/>
    <w:rsid w:val="00D75F9C"/>
    <w:rsid w:val="00D83D61"/>
    <w:rsid w:val="00DE53B3"/>
    <w:rsid w:val="00E111DD"/>
    <w:rsid w:val="00E134FB"/>
    <w:rsid w:val="00E33A86"/>
    <w:rsid w:val="00E37571"/>
    <w:rsid w:val="00E561FE"/>
    <w:rsid w:val="00E7334E"/>
    <w:rsid w:val="00E76A37"/>
    <w:rsid w:val="00EB28DF"/>
    <w:rsid w:val="00EE26D8"/>
    <w:rsid w:val="00EF310C"/>
    <w:rsid w:val="00FB7710"/>
    <w:rsid w:val="00FF787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57EF1"/>
  <w15:chartTrackingRefBased/>
  <w15:docId w15:val="{90B39049-7080-463F-8580-C6CCFDA1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550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iPriority w:val="9"/>
    <w:semiHidden/>
    <w:unhideWhenUsed/>
    <w:qFormat/>
    <w:rsid w:val="005F30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link w:val="Cmsor3Char"/>
    <w:uiPriority w:val="9"/>
    <w:qFormat/>
    <w:rsid w:val="003B3FAF"/>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paragraph" w:styleId="Cmsor4">
    <w:name w:val="heading 4"/>
    <w:basedOn w:val="Norml"/>
    <w:next w:val="Norml"/>
    <w:link w:val="Cmsor4Char"/>
    <w:uiPriority w:val="9"/>
    <w:semiHidden/>
    <w:unhideWhenUsed/>
    <w:qFormat/>
    <w:rsid w:val="00C550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10FAC"/>
    <w:pPr>
      <w:tabs>
        <w:tab w:val="center" w:pos="4536"/>
        <w:tab w:val="right" w:pos="9072"/>
      </w:tabs>
      <w:spacing w:after="0" w:line="240" w:lineRule="auto"/>
    </w:pPr>
  </w:style>
  <w:style w:type="character" w:customStyle="1" w:styleId="lfejChar">
    <w:name w:val="Élőfej Char"/>
    <w:basedOn w:val="Bekezdsalapbettpusa"/>
    <w:link w:val="lfej"/>
    <w:uiPriority w:val="99"/>
    <w:rsid w:val="00310FAC"/>
  </w:style>
  <w:style w:type="paragraph" w:styleId="llb">
    <w:name w:val="footer"/>
    <w:basedOn w:val="Norml"/>
    <w:link w:val="llbChar"/>
    <w:uiPriority w:val="99"/>
    <w:unhideWhenUsed/>
    <w:rsid w:val="00310FAC"/>
    <w:pPr>
      <w:tabs>
        <w:tab w:val="center" w:pos="4536"/>
        <w:tab w:val="right" w:pos="9072"/>
      </w:tabs>
      <w:spacing w:after="0" w:line="240" w:lineRule="auto"/>
    </w:pPr>
  </w:style>
  <w:style w:type="character" w:customStyle="1" w:styleId="llbChar">
    <w:name w:val="Élőláb Char"/>
    <w:basedOn w:val="Bekezdsalapbettpusa"/>
    <w:link w:val="llb"/>
    <w:uiPriority w:val="99"/>
    <w:rsid w:val="00310FAC"/>
  </w:style>
  <w:style w:type="paragraph" w:styleId="Listaszerbekezds">
    <w:name w:val="List Paragraph"/>
    <w:basedOn w:val="Norml"/>
    <w:uiPriority w:val="1"/>
    <w:qFormat/>
    <w:rsid w:val="00890E3B"/>
    <w:pPr>
      <w:ind w:left="720"/>
      <w:contextualSpacing/>
    </w:pPr>
  </w:style>
  <w:style w:type="paragraph" w:styleId="Buborkszveg">
    <w:name w:val="Balloon Text"/>
    <w:basedOn w:val="Norml"/>
    <w:link w:val="BuborkszvegChar"/>
    <w:uiPriority w:val="99"/>
    <w:semiHidden/>
    <w:unhideWhenUsed/>
    <w:rsid w:val="002E3E0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E3E05"/>
    <w:rPr>
      <w:rFonts w:ascii="Segoe UI" w:hAnsi="Segoe UI" w:cs="Segoe UI"/>
      <w:sz w:val="18"/>
      <w:szCs w:val="18"/>
    </w:rPr>
  </w:style>
  <w:style w:type="character" w:customStyle="1" w:styleId="Cmsor3Char">
    <w:name w:val="Címsor 3 Char"/>
    <w:basedOn w:val="Bekezdsalapbettpusa"/>
    <w:link w:val="Cmsor3"/>
    <w:uiPriority w:val="9"/>
    <w:rsid w:val="003B3FAF"/>
    <w:rPr>
      <w:rFonts w:ascii="Times New Roman" w:eastAsia="Times New Roman" w:hAnsi="Times New Roman" w:cs="Times New Roman"/>
      <w:b/>
      <w:bCs/>
      <w:sz w:val="27"/>
      <w:szCs w:val="27"/>
      <w:lang w:eastAsia="hu-HU"/>
    </w:rPr>
  </w:style>
  <w:style w:type="paragraph" w:customStyle="1" w:styleId="Default">
    <w:name w:val="Default"/>
    <w:rsid w:val="004048BE"/>
    <w:pPr>
      <w:autoSpaceDE w:val="0"/>
      <w:autoSpaceDN w:val="0"/>
      <w:adjustRightInd w:val="0"/>
      <w:spacing w:after="0" w:line="240" w:lineRule="auto"/>
    </w:pPr>
    <w:rPr>
      <w:rFonts w:ascii="Arial" w:hAnsi="Arial" w:cs="Arial"/>
      <w:color w:val="000000"/>
      <w:sz w:val="24"/>
      <w:szCs w:val="24"/>
    </w:rPr>
  </w:style>
  <w:style w:type="paragraph" w:styleId="NormlWeb">
    <w:name w:val="Normal (Web)"/>
    <w:basedOn w:val="Norml"/>
    <w:uiPriority w:val="99"/>
    <w:semiHidden/>
    <w:unhideWhenUsed/>
    <w:rsid w:val="00CC01AD"/>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CC01AD"/>
    <w:rPr>
      <w:b/>
      <w:bCs/>
    </w:rPr>
  </w:style>
  <w:style w:type="character" w:styleId="Hiperhivatkozs">
    <w:name w:val="Hyperlink"/>
    <w:basedOn w:val="Bekezdsalapbettpusa"/>
    <w:uiPriority w:val="99"/>
    <w:unhideWhenUsed/>
    <w:rsid w:val="00CC01AD"/>
    <w:rPr>
      <w:color w:val="0563C1" w:themeColor="hyperlink"/>
      <w:u w:val="single"/>
    </w:rPr>
  </w:style>
  <w:style w:type="character" w:styleId="Feloldatlanmegemlts">
    <w:name w:val="Unresolved Mention"/>
    <w:basedOn w:val="Bekezdsalapbettpusa"/>
    <w:uiPriority w:val="99"/>
    <w:semiHidden/>
    <w:unhideWhenUsed/>
    <w:rsid w:val="00CC01AD"/>
    <w:rPr>
      <w:color w:val="605E5C"/>
      <w:shd w:val="clear" w:color="auto" w:fill="E1DFDD"/>
    </w:rPr>
  </w:style>
  <w:style w:type="character" w:styleId="Mrltotthiperhivatkozs">
    <w:name w:val="FollowedHyperlink"/>
    <w:basedOn w:val="Bekezdsalapbettpusa"/>
    <w:uiPriority w:val="99"/>
    <w:semiHidden/>
    <w:unhideWhenUsed/>
    <w:rsid w:val="003C33D0"/>
    <w:rPr>
      <w:color w:val="954F72" w:themeColor="followedHyperlink"/>
      <w:u w:val="single"/>
    </w:rPr>
  </w:style>
  <w:style w:type="table" w:customStyle="1" w:styleId="TableNormal">
    <w:name w:val="Table Normal"/>
    <w:uiPriority w:val="2"/>
    <w:semiHidden/>
    <w:unhideWhenUsed/>
    <w:qFormat/>
    <w:rsid w:val="0056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566ECA"/>
    <w:pPr>
      <w:widowControl w:val="0"/>
      <w:autoSpaceDE w:val="0"/>
      <w:autoSpaceDN w:val="0"/>
      <w:spacing w:after="0" w:line="240" w:lineRule="auto"/>
    </w:pPr>
    <w:rPr>
      <w:rFonts w:ascii="Arial MT" w:eastAsia="Arial MT" w:hAnsi="Arial MT" w:cs="Arial MT"/>
    </w:rPr>
  </w:style>
  <w:style w:type="paragraph" w:styleId="Szvegtrzs">
    <w:name w:val="Body Text"/>
    <w:basedOn w:val="Norml"/>
    <w:link w:val="SzvegtrzsChar"/>
    <w:uiPriority w:val="1"/>
    <w:qFormat/>
    <w:rsid w:val="003A5781"/>
    <w:pPr>
      <w:widowControl w:val="0"/>
      <w:autoSpaceDE w:val="0"/>
      <w:autoSpaceDN w:val="0"/>
      <w:spacing w:after="0" w:line="240" w:lineRule="auto"/>
    </w:pPr>
    <w:rPr>
      <w:rFonts w:ascii="Arial MT" w:eastAsia="Arial MT" w:hAnsi="Arial MT" w:cs="Arial MT"/>
      <w:sz w:val="20"/>
      <w:szCs w:val="20"/>
    </w:rPr>
  </w:style>
  <w:style w:type="character" w:customStyle="1" w:styleId="SzvegtrzsChar">
    <w:name w:val="Szövegtörzs Char"/>
    <w:basedOn w:val="Bekezdsalapbettpusa"/>
    <w:link w:val="Szvegtrzs"/>
    <w:uiPriority w:val="1"/>
    <w:rsid w:val="003A5781"/>
    <w:rPr>
      <w:rFonts w:ascii="Arial MT" w:eastAsia="Arial MT" w:hAnsi="Arial MT" w:cs="Arial MT"/>
      <w:sz w:val="20"/>
      <w:szCs w:val="20"/>
    </w:rPr>
  </w:style>
  <w:style w:type="character" w:customStyle="1" w:styleId="Cmsor2Char">
    <w:name w:val="Címsor 2 Char"/>
    <w:basedOn w:val="Bekezdsalapbettpusa"/>
    <w:link w:val="Cmsor2"/>
    <w:uiPriority w:val="9"/>
    <w:semiHidden/>
    <w:rsid w:val="005F3016"/>
    <w:rPr>
      <w:rFonts w:asciiTheme="majorHAnsi" w:eastAsiaTheme="majorEastAsia" w:hAnsiTheme="majorHAnsi" w:cstheme="majorBidi"/>
      <w:color w:val="2E74B5" w:themeColor="accent1" w:themeShade="BF"/>
      <w:sz w:val="26"/>
      <w:szCs w:val="26"/>
    </w:rPr>
  </w:style>
  <w:style w:type="character" w:customStyle="1" w:styleId="Cmsor1Char">
    <w:name w:val="Címsor 1 Char"/>
    <w:basedOn w:val="Bekezdsalapbettpusa"/>
    <w:link w:val="Cmsor1"/>
    <w:uiPriority w:val="9"/>
    <w:rsid w:val="00C550D2"/>
    <w:rPr>
      <w:rFonts w:asciiTheme="majorHAnsi" w:eastAsiaTheme="majorEastAsia" w:hAnsiTheme="majorHAnsi" w:cstheme="majorBidi"/>
      <w:color w:val="2E74B5" w:themeColor="accent1" w:themeShade="BF"/>
      <w:sz w:val="32"/>
      <w:szCs w:val="32"/>
    </w:rPr>
  </w:style>
  <w:style w:type="character" w:customStyle="1" w:styleId="Cmsor4Char">
    <w:name w:val="Címsor 4 Char"/>
    <w:basedOn w:val="Bekezdsalapbettpusa"/>
    <w:link w:val="Cmsor4"/>
    <w:uiPriority w:val="9"/>
    <w:semiHidden/>
    <w:rsid w:val="00C550D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28012">
      <w:bodyDiv w:val="1"/>
      <w:marLeft w:val="0"/>
      <w:marRight w:val="0"/>
      <w:marTop w:val="0"/>
      <w:marBottom w:val="0"/>
      <w:divBdr>
        <w:top w:val="none" w:sz="0" w:space="0" w:color="auto"/>
        <w:left w:val="none" w:sz="0" w:space="0" w:color="auto"/>
        <w:bottom w:val="none" w:sz="0" w:space="0" w:color="auto"/>
        <w:right w:val="none" w:sz="0" w:space="0" w:color="auto"/>
      </w:divBdr>
    </w:div>
    <w:div w:id="890728905">
      <w:bodyDiv w:val="1"/>
      <w:marLeft w:val="0"/>
      <w:marRight w:val="0"/>
      <w:marTop w:val="0"/>
      <w:marBottom w:val="0"/>
      <w:divBdr>
        <w:top w:val="none" w:sz="0" w:space="0" w:color="auto"/>
        <w:left w:val="none" w:sz="0" w:space="0" w:color="auto"/>
        <w:bottom w:val="none" w:sz="0" w:space="0" w:color="auto"/>
        <w:right w:val="none" w:sz="0" w:space="0" w:color="auto"/>
      </w:divBdr>
    </w:div>
    <w:div w:id="134513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5AB72-3DC8-43B9-BF2F-6AC4BE25D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3354</Words>
  <Characters>23145</Characters>
  <Application>Microsoft Office Word</Application>
  <DocSecurity>0</DocSecurity>
  <Lines>192</Lines>
  <Paragraphs>52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Ömböli Mónika</dc:creator>
  <cp:keywords/>
  <dc:description/>
  <cp:lastModifiedBy>Ömböli Mónika</cp:lastModifiedBy>
  <cp:revision>2</cp:revision>
  <cp:lastPrinted>2023-01-16T10:55:00Z</cp:lastPrinted>
  <dcterms:created xsi:type="dcterms:W3CDTF">2026-10-28T10:52:00Z</dcterms:created>
  <dcterms:modified xsi:type="dcterms:W3CDTF">2026-10-28T10:52:00Z</dcterms:modified>
</cp:coreProperties>
</file>